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Anàlisi crítica de diferents alternatives de consum o activitats econòmiques relacionades amb la producció de béns i serveis.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Valoren de manera crítica els límits i les possibilitats de les alternatives de consum o activitats econòmiques relacionades amb la producció de béns i serveis.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8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9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70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1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2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74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5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7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9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9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94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9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9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9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9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2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4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2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37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38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39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40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41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42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43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44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45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46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47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48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49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50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5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52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53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4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55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56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7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8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6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6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6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6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64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6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6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6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68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9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70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1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2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73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Tecnologies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dels principals processos de generació d’electricitat a partir de diferents fonts d’energia. Valoració</w:t>
        <w:br/>
        <w:br/>
        <w:br/>
        <w:t>de la utilització d’energies renovables per a la generació d’electricitat. Reconeixement experimental</w:t>
        <w:br/>
        <w:br/>
        <w:br/>
        <w:t>de motors elèctrics.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219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9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9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9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9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9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9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9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2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35" Type="http://schemas.openxmlformats.org/officeDocument/2006/relationships/hyperlink" Target="https://www.transformarelmon-guia.edualter.org/ca/instruments/carpeta-daprenentatge" TargetMode="External"/><Relationship Id="rId136" Type="http://schemas.openxmlformats.org/officeDocument/2006/relationships/hyperlink" Target="https://www.transformarelmon-guia.edualter.org/ca/instruments/portafoli1" TargetMode="External"/><Relationship Id="rId13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3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3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4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4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4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4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4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4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5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5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5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5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5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5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6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6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7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