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Implicació en propostes i accions de conservació i protecció del medi ambint, el territori i la naturalesa.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S’impliquen de manera activa en propostes i accions de conservació i protecció del medi ambint, el territori i la naturalesa.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2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6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27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28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29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130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131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32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33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4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135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Elaboració de propostes de mesures, individuals i col·lectives, d’estalvi energètic en l’entorn proper.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física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Realització d’activitats fisicoesportives en el medi natural.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134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i realització d’activitats en el medi natural com a activitats per a la millora de la condició</w:t>
        <w:br/>
        <w:br/>
        <w:br/>
        <w:t>física i la recreació.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136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Respecte i valoració del medi natural com a espai idoni per a la realització d’activitats físiques.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136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2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12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12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13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1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3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