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Valoració de les diferents cosmologies i cosmogonies, i la seva vinculació amb el medi ambient, el territori i la naturalesa.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Tenir una actitud favorable cap a la defensa i cura del medi ambient, el territori proper i llunya, i la naturalesa, així com reivindicar els drets individuals i col·lectius que garanteixin un entorn mediambiental adequat per al desenvolupament dels éssers vius i les persones.</w:t>
      </w:r>
    </w:p>
    <w:p/>
    <w:p>
      <w:pPr>
        <w:pStyle w:val="Heading1"/>
      </w:pPr>
      <w:r>
        <w:t>CRITERI D'AVALUACIÓ</w:t>
      </w:r>
    </w:p>
    <w:p>
      <w:pPr/>
      <w:r>
        <w:t>Valoren de manera respectuosa les diferents cosmologies i cosmogonies, i la seva vinculació amb el medi ambient, el territori i la naturalesa.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El (re)coneixement de l’entorn natural i el territori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Webquest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webquesta és una tècnica didàctica de recerca guiada, que utilitza principalment recursos de la xarxa. Té en compte el desenvolupament de les competències bàsiques, contempla el treball cooperatiu i la responsabilitat individual, prioritza la construcció del coneixement mitjançant la transformació de la informació en un producte i conté una avaluació directa del procés i dels resultats. La seva estructura clàssica és la següent:</w:t>
        <w:br/>
        <w:br/>
        <w:t>- Introducció</w:t>
        <w:br/>
        <w:br/>
        <w:t>- Tasca</w:t>
        <w:br/>
        <w:br/>
        <w:t>- Seqüència</w:t>
        <w:br/>
        <w:br/>
        <w:t>- Recursos</w:t>
        <w:br/>
        <w:br/>
        <w:t>- Avaluació.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0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11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2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13">
        <w:r>
          <w:rPr/>
          <w:t>Reflexió crítica i comprensió del sistema de protecció dels drets humans i la seva necessària articulació amb la garantia de la pau, el desenvolupament i la democràcia</w:t>
        </w:r>
      </w:hyperlink>
    </w:p>
    <w:p>
      <w:pPr>
        <w:pStyle w:val="Link4"/>
      </w:pPr>
      <w:hyperlink r:id="rId14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1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6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7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18">
        <w:r>
          <w:rPr/>
          <w:t>Valoració de les diferents cosmologies i cosmogonies, i la seva vinculació amb el medi ambient, el territori i la naturalesa.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2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2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2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2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2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2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2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2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3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3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8">
        <w:r>
          <w:rPr/>
          <w:t>Introducció a la dimensió internacional, al planeta i a altres països</w:t>
        </w:r>
      </w:hyperlink>
    </w:p>
    <w:p>
      <w:pPr>
        <w:pStyle w:val="Link4"/>
      </w:pPr>
      <w:hyperlink r:id="rId39">
        <w:r>
          <w:rPr/>
          <w:t>Presentació de les Nacions Unides i dels drets humans</w:t>
        </w:r>
      </w:hyperlink>
    </w:p>
    <w:p>
      <w:pPr>
        <w:pStyle w:val="Link4"/>
      </w:pPr>
      <w:hyperlink r:id="rId40">
        <w:r>
          <w:rPr/>
          <w:t>Coneixement del rol de les Nacions Unides i del dret internacional</w:t>
        </w:r>
      </w:hyperlink>
    </w:p>
    <w:p>
      <w:pPr>
        <w:pStyle w:val="Link4"/>
      </w:pPr>
      <w:hyperlink r:id="rId10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11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2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41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42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43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4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5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46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7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8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9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0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2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3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4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5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8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7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9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60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6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2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63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64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65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6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7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8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9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71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72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7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74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75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8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9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80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81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2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83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84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5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6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7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8">
        <w:r>
          <w:rPr/>
          <w:t>Carpeta d'aprenentatge</w:t>
        </w:r>
      </w:hyperlink>
    </w:p>
    <w:p>
      <w:pPr>
        <w:pStyle w:val="Link4"/>
      </w:pPr>
      <w:hyperlink r:id="rId89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90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9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92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9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3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94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5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6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7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8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8">
        <w:r>
          <w:rPr/>
          <w:t>Introducció a la dimensió internacional, al planeta i a altres països</w:t>
        </w:r>
      </w:hyperlink>
    </w:p>
    <w:p>
      <w:pPr>
        <w:pStyle w:val="Link4"/>
      </w:pPr>
      <w:hyperlink r:id="rId39">
        <w:r>
          <w:rPr/>
          <w:t>Presentació de les Nacions Unides i dels drets humans</w:t>
        </w:r>
      </w:hyperlink>
    </w:p>
    <w:p>
      <w:pPr>
        <w:pStyle w:val="Link4"/>
      </w:pPr>
      <w:hyperlink r:id="rId40">
        <w:r>
          <w:rPr/>
          <w:t>Coneixement del rol de les Nacions Unides i del dret internacional</w:t>
        </w:r>
      </w:hyperlink>
    </w:p>
    <w:p>
      <w:pPr>
        <w:pStyle w:val="Link4"/>
      </w:pPr>
      <w:hyperlink r:id="rId10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11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9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100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101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102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103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104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105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6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7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8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9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10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11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12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13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4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6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4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5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6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9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0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1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2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3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4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5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8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18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9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7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20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9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21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22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6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3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23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4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64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65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6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7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8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9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71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72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7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74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75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81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2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83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84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6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85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7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8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8">
        <w:r>
          <w:rPr/>
          <w:t>Carpeta d'aprenentatge</w:t>
        </w:r>
      </w:hyperlink>
    </w:p>
    <w:p>
      <w:pPr>
        <w:pStyle w:val="Link4"/>
      </w:pPr>
      <w:hyperlink r:id="rId89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necessitat de protegir i difondre el patrimoni natural i cultural com a herència cultural</w:t>
        <w:br/>
        <w:br/>
        <w:br/>
        <w:t>dels grups humans i manifestació de riquesa i diversitat. Localització i obtenció d’informacions</w:t>
        <w:br/>
        <w:br/>
        <w:br/>
        <w:t>diverses sobre restes arqueològiques i elements patrimonials de Catalunya i Espanya.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118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55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5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18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19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59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1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1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3s4" TargetMode="External"/><Relationship Id="rId1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1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1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2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2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2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2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2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2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2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2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2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3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4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4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4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7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7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7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7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8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8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8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8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8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8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8" Type="http://schemas.openxmlformats.org/officeDocument/2006/relationships/hyperlink" Target="https://www.transformarelmon-guia.edualter.org/ca/instruments/carpeta-daprenentatge" TargetMode="External"/><Relationship Id="rId89" Type="http://schemas.openxmlformats.org/officeDocument/2006/relationships/hyperlink" Target="https://www.transformarelmon-guia.edualter.org/ca/instruments/portafoli1" TargetMode="External"/><Relationship Id="rId9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9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9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9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9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9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10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1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1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1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1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1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2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2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2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