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Defensa i promoció dels drets propis i de les persones i col.lectius de l’entorn proper i del món, fent èmfasi en aquells relacionats amb el reconeixement de les minories i de la diversitat (lingüística, cultural, religiosa...)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Responsabilitat i compromís amb la promoció de relacions basades en el diàleg, l’equitat i el respecte amb la finalitat de contribuir a la construcció d’un model de convivència inclusiu que garanteixi els drets de les minories excloses o discriminades per motiu del seu origen o pertinença.</w:t>
      </w:r>
    </w:p>
    <w:p/>
    <w:p>
      <w:pPr>
        <w:pStyle w:val="Heading1"/>
      </w:pPr>
      <w:r>
        <w:t>CRITERI D'AVALUACIÓ</w:t>
      </w:r>
    </w:p>
    <w:p>
      <w:pPr/>
      <w:r>
        <w:t>Defensen i promouen els drets propis i de les persones i col·lectius de l’entorn proper i del món, fent èmfasi en aquells relacionats amb el reconeixement de les minories i de la diversitat (lingüística, cultural, religiosa...)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1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2">
        <w:r>
          <w:rPr/>
          <w:t>Defensa del conflicte com a oportunitat de canvi social</w:t>
        </w:r>
      </w:hyperlink>
    </w:p>
    <w:p>
      <w:pPr>
        <w:pStyle w:val="Link4"/>
      </w:pPr>
      <w:hyperlink r:id="rId2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2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2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7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28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9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0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1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32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3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4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35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6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38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3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0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41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42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43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44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4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46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47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48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49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5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52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5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5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5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7">
        <w:r>
          <w:rPr/>
          <w:t>Contractes didàctics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5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0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61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2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63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64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65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35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36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6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67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9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70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3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5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Carpeta d'aprenentatge</w:t>
        </w:r>
      </w:hyperlink>
    </w:p>
    <w:p>
      <w:pPr>
        <w:pStyle w:val="Link4"/>
      </w:pPr>
      <w:hyperlink r:id="rId75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dels drets individuals i col·lectius. Identificació i rebuig de les situacions de desigualtat,</w:t>
        <w:br/>
        <w:br/>
        <w:br/>
        <w:t>injustícia i discriminació que afecten persones i col·lectius en el món actual.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Identificació, anàlisi i rebuig de les causes que provoquen situacions de marginació, desigualtat i</w:t>
        <w:br/>
        <w:br/>
        <w:br/>
        <w:t>injustícia social en el món, incidint especialment en la privació dels infants del dret a l’educació.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les relacions existents entre la vida de les persones de diferents parts del món i dels</w:t>
        <w:br/>
        <w:br/>
        <w:br/>
        <w:t>criteris d’igualtat, respecte i cooperació implicats en aquestes relacions. Reconeixement d’accions</w:t>
        <w:br/>
        <w:br/>
        <w:br/>
        <w:t>solidàries i iniciatives de voluntariat.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del significat històric i plural de les pautes culturals i valors morals dels individus i les</w:t>
        <w:br/>
        <w:br/>
        <w:br/>
        <w:t>societats actuals, tot apreciant-ne la diversitat, des del reconeixement de les llibertats i drets personals</w:t>
        <w:br/>
        <w:br/>
        <w:br/>
        <w:t>i col·lectius i rebutjant comportaments i actituds discriminatoris.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Història i cultura de les religions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Respecte per les idees i les conductes de la persona religiosa i la no religiosa, i rebuig de les persones</w:t>
        <w:br/>
        <w:br/>
        <w:br/>
        <w:t>que són contràries als drets humans.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232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drets fonamentals que donen suport a la llibertat de creences i reconeixement de</w:t>
        <w:br/>
        <w:br/>
        <w:br/>
        <w:t>la seva presència a la Constitució espanyola i a l’Estatut d’Autonomia de Catalunya.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234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6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7">
        <w:r>
          <w:rPr/>
          <w:t>Establiment i promoció de relacions de convivència assertives i respectuoses amb totes les persones i grups socials,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2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2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2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3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3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4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4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4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4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4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5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5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5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57" Type="http://schemas.openxmlformats.org/officeDocument/2006/relationships/hyperlink" Target="https://www.transformarelmon-guia.edualter.org/ca/instruments/contractes-didactics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6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6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6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74" Type="http://schemas.openxmlformats.org/officeDocument/2006/relationships/hyperlink" Target="https://www.transformarelmon-guia.edualter.org/ca/instruments/carpeta-daprenentatge" TargetMode="External"/><Relationship Id="rId75" Type="http://schemas.openxmlformats.org/officeDocument/2006/relationships/hyperlink" Target="https://www.transformarelmon-guia.edualter.org/ca/instruments/portafoli1" TargetMode="External"/><Relationship Id="rId7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7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