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Reflexió crítica sobre els sistemes de presa de decisions (votacions, majories, consens) i la importància de la participació en la definició de normes per a la convivència de totes les persones i grups socials, sense exclusions per motius d'origen o pertinença</w:t>
      </w:r>
    </w:p>
    <w:p/>
    <w:p>
      <w:pPr>
        <w:pStyle w:val="Heading1"/>
      </w:pPr>
      <w:r>
        <w:t>OBJECTIU EIX</w:t>
      </w:r>
    </w:p>
    <w:p>
      <w:pPr/>
      <w:r>
        <w:t>Ser persones obertes, responsables, crítiques i compromeses en la construcció de relacions interculturals basades en l’equitat, la justícia i la inclusió social, rebutjant els prejudicis, estereotips i qualsevol tipus de discriminació per motius d’origen o pertinença.</w:t>
      </w:r>
    </w:p>
    <w:p/>
    <w:p>
      <w:pPr>
        <w:pStyle w:val="Heading1"/>
      </w:pPr>
      <w:r>
        <w:t>OBJECTIU BLOC</w:t>
      </w:r>
    </w:p>
    <w:p>
      <w:pPr/>
      <w:r>
        <w:t>Responsabilitat i compromís amb la promoció de relacions basades en el diàleg, l’equitat i el respecte amb la finalitat de contribuir a la construcció d’un model de convivència inclusiu que garanteixi els drets de les minories excloses o discriminades per motiu del seu origen o pertinença.</w:t>
      </w:r>
    </w:p>
    <w:p/>
    <w:p>
      <w:pPr>
        <w:pStyle w:val="Heading1"/>
      </w:pPr>
      <w:r>
        <w:t>CRITERI D'AVALUACIÓ</w:t>
      </w:r>
    </w:p>
    <w:p>
      <w:pPr/>
      <w:r>
        <w:t>Reflexionen críticament sobre els diferents sistemes de presa de decisions (votacions, majories, consens) i la importància de la participació en la definició de normes per a la convivència de totes les persones i grups socials, sense exclusions per motiu d’origen o pertinença</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Models de convivència i inclusió social</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49">
        <w:r>
          <w:rPr/>
          <w:t xml:space="preserve">Coneixement de les normes de l’aula </w:t>
        </w:r>
      </w:hyperlink>
    </w:p>
    <w:p>
      <w:pPr>
        <w:pStyle w:val="Link4"/>
      </w:pPr>
      <w:hyperlink r:id="rId50">
        <w:r>
          <w:rPr/>
          <w:t>Valoració de les normes de classe com a instrument de regulació de la convivència a l’aula i al centre escolar</w:t>
        </w:r>
      </w:hyperlink>
    </w:p>
    <w:p>
      <w:pPr>
        <w:pStyle w:val="Link4"/>
      </w:pPr>
      <w:hyperlink r:id="rId51">
        <w:r>
          <w:rPr/>
          <w:t>Capacitat de formular normes de classe que promoguin la convivència i de preveure mesures que siguin reparadores</w:t>
        </w:r>
      </w:hyperlink>
    </w:p>
    <w:p>
      <w:pPr>
        <w:pStyle w:val="Link4"/>
      </w:pPr>
      <w:hyperlink r:id="rId52">
        <w:r>
          <w:rPr/>
          <w:t>Definició conjunta i aplicació de normes de classe que promoguin la convivència, i de mesures reparadores</w:t>
        </w:r>
      </w:hyperlink>
    </w:p>
    <w:p>
      <w:pPr>
        <w:pStyle w:val="Link4"/>
      </w:pPr>
      <w:hyperlink r:id="rId53">
        <w:r>
          <w:rPr/>
          <w:t>Capacitat de fer el seguiment i valorar el respecte de les normes de classe i el caràcter reparador de les mesures</w:t>
        </w:r>
      </w:hyperlink>
    </w:p>
    <w:p>
      <w:pPr>
        <w:pStyle w:val="Link4"/>
      </w:pPr>
      <w:hyperlink r:id="rId54">
        <w:r>
          <w:rPr/>
          <w:t xml:space="preserve">Observació del valor de les normes  d’aula i de centre </w:t>
        </w:r>
      </w:hyperlink>
    </w:p>
    <w:p>
      <w:pPr>
        <w:pStyle w:val="Link4"/>
      </w:pPr>
      <w:hyperlink r:id="rId55">
        <w:r>
          <w:rPr/>
          <w:t>Observació d’aspectes de la organització d’aula o de centre que s’haurien de millorar</w:t>
        </w:r>
      </w:hyperlink>
    </w:p>
    <w:p>
      <w:pPr>
        <w:pStyle w:val="Link4"/>
      </w:pPr>
      <w:hyperlink r:id="rId56">
        <w:r>
          <w:rPr/>
          <w:t>Respecte a les normes  d’aula i de centre, reconeixent-ne el benefici per una mateixa i per les altres persones</w:t>
        </w:r>
      </w:hyperlink>
    </w:p>
    <w:p>
      <w:pPr>
        <w:pStyle w:val="Link4"/>
      </w:pPr>
      <w:hyperlink r:id="rId57">
        <w:r>
          <w:rPr/>
          <w:t>Formulació puntual d’alternatives per tal de millorar aspectes de la organització d’aula o de centre</w:t>
        </w:r>
      </w:hyperlink>
    </w:p>
    <w:p>
      <w:pPr>
        <w:pStyle w:val="Link4"/>
      </w:pPr>
      <w:hyperlink r:id="rId58">
        <w:r>
          <w:rPr/>
          <w:t>Valoració positiva de a les normes  d’aula i de centre, reconeixent-ne el benefici per una mateixa i per les altres persones</w:t>
        </w:r>
      </w:hyperlink>
    </w:p>
    <w:p>
      <w:pPr>
        <w:pStyle w:val="Link4"/>
      </w:pPr>
      <w:hyperlink r:id="rId59">
        <w:r>
          <w:rPr/>
          <w:t>Valoració crítica de diferents alternatives per decidir quines contribueixen més a millorar aspectes de la organització d’aula o de centre</w:t>
        </w:r>
      </w:hyperlink>
    </w:p>
    <w:p>
      <w:pPr>
        <w:pStyle w:val="Link4"/>
      </w:pPr>
      <w:hyperlink r:id="rId60">
        <w:r>
          <w:rPr/>
          <w:t>Valoració positiva de les normes de centre i socials, reconeixent-ne el benefici per una mateixa, per les altres persones i per la societat</w:t>
        </w:r>
      </w:hyperlink>
    </w:p>
    <w:p>
      <w:pPr>
        <w:pStyle w:val="Link4"/>
      </w:pPr>
      <w:hyperlink r:id="rId61">
        <w:r>
          <w:rPr/>
          <w:t>Reconeixement de i no col•laboració amb principis, normes i formes d’organització injustes</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62">
        <w:r>
          <w:rPr/>
          <w:t>Interès en prendre decisions de forma autònoma i expressar-les</w:t>
        </w:r>
      </w:hyperlink>
    </w:p>
    <w:p>
      <w:pPr>
        <w:pStyle w:val="Link4"/>
      </w:pPr>
      <w:hyperlink r:id="rId63">
        <w:r>
          <w:rPr/>
          <w:t>Identificació dels propis compromisos i responsabilitats en relació a  la planificació, organització i realització de les tasques escolars i familiars</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64">
        <w:r>
          <w:rPr/>
          <w:t>Pràctica de diferents mecanismes i vies de participació democràtica a  l’aula i al centre escolar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5">
        <w:r>
          <w:rPr/>
          <w:t>Interès per aprofundir en els diferents mecanismes i vies de participació democràtica a l’aula i al centre escolar, indagant propostes de millora i aprofundiment democràtic</w:t>
        </w:r>
      </w:hyperlink>
    </w:p>
    <w:p>
      <w:pPr>
        <w:pStyle w:val="Link4"/>
      </w:pPr>
      <w:hyperlink r:id="rId66">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7">
        <w:r>
          <w:rPr/>
          <w:t>Anàlisi  crítica del procés de construcció i respecte de les diferents normes de convivència democràtica del centre, la família i l’entorn proper en base als criteris de consens i dissens</w:t>
        </w:r>
      </w:hyperlink>
    </w:p>
    <w:p>
      <w:pPr>
        <w:pStyle w:val="Link4"/>
      </w:pPr>
      <w:hyperlink r:id="rId68">
        <w:r>
          <w:rPr/>
          <w:t>Anàlisi crítica dels diferents mecanismes i vies de participació democràtica a l’aula i al centre escolar, indagant propostes de millora i aprofundiment democràtic</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9">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70">
        <w:r>
          <w:rPr/>
          <w:t>Desenvolupament de nous mecanismes i vies de participació democràtica a l’aula, al centre i a l’entorn, indagant propostes de millora i aprofundiment democràtic</w:t>
        </w:r>
      </w:hyperlink>
    </w:p>
    <w:p>
      <w:pPr>
        <w:pStyle w:val="Link4"/>
      </w:pPr>
      <w:hyperlink r:id="rId71">
        <w:r>
          <w:rPr/>
          <w:t>Inici en la pràctica de presa de decisions i de construcció consensuada d'algunes normes bàsiques per organitzar a la convivència a l’aula i al centre</w:t>
        </w:r>
      </w:hyperlink>
    </w:p>
    <w:p>
      <w:pPr>
        <w:pStyle w:val="Link4"/>
      </w:pPr>
      <w:hyperlink r:id="rId7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73">
        <w:r>
          <w:rPr/>
          <w:t>Establiment de relacions de convivència a l'aula, al centre i a l'entorn basades en l'estima, el respecte i la conficança en un mateix i en les altres persones</w:t>
        </w:r>
      </w:hyperlink>
    </w:p>
    <w:p>
      <w:pPr>
        <w:pStyle w:val="Link4"/>
      </w:pPr>
      <w:hyperlink r:id="rId74">
        <w:r>
          <w:rPr/>
          <w:t>Participació en la presa de decisions i en la construcció consensuada d'unes normes bàsiques per organitzar la convivència a l’aula i al  centre</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75">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8">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76">
        <w:r>
          <w:rPr/>
          <w:t xml:space="preserve">Reivindicació i defensa de la participació en la presa de decisions i en la definició de les normes de convivència de totes les persones i grups socials, sense exclusions per motius d’origen o pertinença </w:t>
        </w:r>
      </w:hyperlink>
    </w:p>
    <w:p>
      <w:pPr>
        <w:pStyle w:val="ListBullet"/>
      </w:pPr>
      <w:r>
        <w:t>Interculturalitat crítica</w:t>
      </w:r>
    </w:p>
    <w:p>
      <w:pPr>
        <w:pStyle w:val="ListBullet"/>
      </w:pPr>
      <w:r>
        <w:t>Educació Secundària Obligatòria (ESO)</w:t>
      </w:r>
    </w:p>
    <w:p>
      <w:pPr>
        <w:pStyle w:val="ListBullet"/>
      </w:pPr>
      <w:r>
        <w:t>Competència ciutadana</w:t>
      </w:r>
    </w:p>
    <w:p>
      <w:pPr>
        <w:pStyle w:val="Link"/>
      </w:pPr>
      <w:hyperlink r:id="rId77">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stBullet"/>
      </w:pPr>
      <w:r>
        <w:t>Interculturalitat crítica</w:t>
      </w:r>
    </w:p>
    <w:p>
      <w:pPr>
        <w:pStyle w:val="ListBullet"/>
      </w:pPr>
      <w:r>
        <w:t>Educació Secundària Obligatòria (ESO)</w:t>
      </w:r>
    </w:p>
    <w:p>
      <w:pPr>
        <w:pStyle w:val="ListBullet"/>
      </w:pPr>
      <w:r>
        <w:t>Competència ciutadana</w:t>
      </w:r>
    </w:p>
    <w:p>
      <w:pPr>
        <w:pStyle w:val="ListBullet"/>
      </w:pPr>
      <w:r>
        <w:t>Competència personal, social i d'aprendre a aprendre</w:t>
      </w:r>
    </w:p>
    <w:p>
      <w:pPr>
        <w:pStyle w:val="ListBullet"/>
      </w:pPr>
      <w:r>
        <w:t>Competència en comunicació lingüística</w:t>
      </w:r>
    </w:p>
    <w:p>
      <w:pPr>
        <w:pStyle w:val="Link"/>
      </w:pPr>
      <w:hyperlink r:id="rId78">
        <w:r>
          <w:rPr/>
          <w:t xml:space="preserve">Construcció de relacions de convivència assertives i respectuoses amb totes les persones i grups socials independentment del seu origen o pertinença. </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nk"/>
      </w:pPr>
      <w:hyperlink r:id="rId79">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stBullet"/>
      </w:pPr>
      <w:r>
        <w:t>Interculturalitat crítica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5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5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5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5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6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6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6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6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7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7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7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7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7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7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7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1s2" TargetMode="External"/><Relationship Id="rId7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