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els sistemes de presa de decisions (votacions, majories, consens) i la importància de la participació en la definició de normes per a la convivència de totes les persones i grups socials, sense exclusions per motius d'origen o pertinença</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Reflexionen críticament sobre els diferents sistemes de presa de decisions (votacions, majories, consens) i la importància de la participació en la definició de normes per a la convivència de totes les persones i grups socials, sense exclusions per motiu d’origen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6">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77">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stBullet"/>
      </w:pPr>
      <w:r>
        <w:t>Competència personal, social i d'aprendre a aprendre</w:t>
      </w:r>
    </w:p>
    <w:p>
      <w:pPr>
        <w:pStyle w:val="Link"/>
      </w:pPr>
      <w:hyperlink r:id="rId78">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79">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stBullet"/>
      </w:pPr>
      <w:r>
        <w:t>Interculturalitat Crítica i Antiracisme</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3s4" TargetMode="External"/><Relationship Id="rId7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7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 Id="rId7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