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crítica i posicionament en relació al tractament informatiu que es fa als mitjans de comunicació, Internet, xarxes socials i altres espais d'informació i comunicació respecte als diferents col.lectius socials i culturals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els estereotips i prejudicis tant propis com presents en l’entorn social i en els mitjans de comunicació i denunciar les situacions de discriminació, dominació i violència per motiu d’origen o pertinença.</w:t>
      </w:r>
    </w:p>
    <w:p/>
    <w:p>
      <w:pPr>
        <w:pStyle w:val="Heading1"/>
      </w:pPr>
      <w:r>
        <w:t>CRITERI D'AVALUACIÓ</w:t>
      </w:r>
    </w:p>
    <w:p>
      <w:pPr/>
      <w:r>
        <w:t>Valoren críticament i es posicionen en relació al tractament informatiu que es fa als mitjans de comunicació, Internet, xarxes socials, i altres espais d’informació i comunicació respecte als diferents col·lectius socials i culturals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5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26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2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Ús d’un llenguatge no discriminatori i respectuós amb les diferències. Ús de fórmules de cortesia en</w:t>
        <w:br/>
        <w:br/>
        <w:br/>
        <w:t>els intercanvis 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dels missatges que suposin qualsevol tipus de discriminació i voluntat de</w:t>
        <w:br/>
        <w:br/>
        <w:br/>
        <w:t>superar els prejudicis.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Llengües estrangeres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Lectura, comprensió i valoració del llenguatge de la publicitat identificant les peculiaritats dels documents autèntics de diferents procedències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28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29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2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2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3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