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Reflexió crítica sobre els comentaris, opinions, valoracions i interpretacions   que es donen en els mitjans de comunicació, Internet, xarxes socials i altres espais d'informació i comunicació respecte als diferents col.lectius socials i culturals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Reflexionen críticament sobre els comentaris, opinions, valoracions i interpretacions que es donen en els mitjans de comunicació i altres fonts respecte als diferents col·lectius socials i culturals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Desenvolupament de l’hàbit d’observar i interpretar críticament la representació de la realitat a través</w:t>
        <w:br/>
        <w:br/>
        <w:br/>
        <w:t>dels mitjans de comunicació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digital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Interpretació crítica de la realitat que ens presenten els mitjans de comunicació, inclòs el llenguatge</w:t>
        <w:br/>
        <w:br/>
        <w:br/>
        <w:t>publicitari, per desenvolupar la capacitat d’elecció responsable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estereotips lingüístics i audiovisuals –especialment els presents als mitjans de</w:t>
        <w:br/>
        <w:br/>
        <w:br/>
        <w:t>comunicació que reflecteixen prejudicis racistes, classistes o sexistes.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missatges discriminatoris i estereotips que reflecteixen prejudicis racistes, classistes</w:t>
        <w:br/>
        <w:br/>
        <w:br/>
        <w:t>o sexistes.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5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