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Comprensió crítica de les causes, conseqüències  i característiques de les migracions actuals en el context de la globalització econòmica i de les comunicacions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Esdevenir persones conscients i assertives respecte a la pròpia identitat, obertes i respectuoses envers altres valors, cosmovisions i formes de viure presents en l’entorn proper i al món, tot reconeixent la necessitat d’uns valors compartits com a base de la convivència intercultural.</w:t>
      </w:r>
    </w:p>
    <w:p/>
    <w:p>
      <w:pPr>
        <w:pStyle w:val="Heading1"/>
      </w:pPr>
      <w:r>
        <w:t>CRITERI D'AVALUACIÓ</w:t>
      </w:r>
    </w:p>
    <w:p>
      <w:pPr/>
      <w:r>
        <w:t>Comprenen críticament les causes, característiques i conseqüències de les migracions actuals en el context de la globalització econòmica i de les comunicacions.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l’impacte dels processos productius, dels moviments de població i del creixement</w:t>
        <w:br/>
        <w:br/>
        <w:br/>
        <w:t>urbà sobre el territori. Anàlisi de les formes de vida, dels problemes i de la gestió de les ciutats actuals,</w:t>
        <w:br/>
        <w:br/>
        <w:br/>
        <w:t>especialment a Catalunya i Espanya.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5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6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