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Coneixement d’alguns principis i valors fonamentals (justícia, equitat, pau, dignitat, llibertat, solidaritat...) que constitueixen la base de la igualtat de drets i oportunitats per a totes les persones independentment del seu origen o pertinença.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Coneixen alguns principis i valors fonamentals (justícia, equitat, pau, dignitat, sostenibilitat, solidaritat...) que constitueixen la base de la igualtat de drets i oportunitats per a totes les persones independentment del seu origen o pertinença.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25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26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27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28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29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12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