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Coneixement de les experiències migratòries dels diferents membres de les famílies de l’alumnat, identificant la seva tipologia (del camp a la ciutat, dintre del propi país, internacional...).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Coneixen les experiències migratòries dels diferents membres de les respectives famílies, identificant la seva tipologia (del camp a la ciutat, dintre del propi país o internacional).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26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2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28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29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30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31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3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3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34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35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36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37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38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39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40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41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42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43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44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4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8">
        <w:r>
          <w:rPr/>
          <w:t>Identificació de les pròpies necessitats per la cura d’una mateixa</w:t>
        </w:r>
      </w:hyperlink>
    </w:p>
    <w:p>
      <w:pPr>
        <w:pStyle w:val="Link4"/>
      </w:pPr>
      <w:hyperlink r:id="rId49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50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51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52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3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54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55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6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57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5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5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60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61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6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63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4">
        <w:r>
          <w:rPr/>
          <w:t>Diari d'aula</w:t>
        </w:r>
      </w:hyperlink>
    </w:p>
    <w:p>
      <w:pPr>
        <w:pStyle w:val="Link4"/>
      </w:pPr>
      <w:hyperlink r:id="rId65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canvis en les persones al llarg del temps i de les diferents etapes personals. Ús de</w:t>
        <w:br/>
        <w:br/>
        <w:br/>
        <w:t>tècniques de registre i representació de la història pròpia i del passat familiar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0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1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8">
        <w:r>
          <w:rPr/>
          <w:t>Identificació del lloc d’origen de les famílies de l’alumnat, comparant les semblances i les diferències existents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3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3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3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3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3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3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4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5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5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5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5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5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6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6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6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6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64" Type="http://schemas.openxmlformats.org/officeDocument/2006/relationships/hyperlink" Target="https://www.transformarelmon-guia.edualter.org/ca/instruments/diari-daula" TargetMode="External"/><Relationship Id="rId65" Type="http://schemas.openxmlformats.org/officeDocument/2006/relationships/hyperlink" Target="https://www.transformarelmon-guia.edualter.org/ca/instruments/portafoli1" TargetMode="External"/><Relationship Id="rId6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6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