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Presa de consciència del propi procés de construcció de la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Interioritzen les caracterítiques bàsiques del procés de construcció de la identitat de gènere i de la identitat 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68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0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1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2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7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75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>
      <w:pPr>
        <w:pStyle w:val="Link4"/>
      </w:pPr>
      <w:hyperlink r:id="rId76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77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78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79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80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81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82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3">
        <w:r>
          <w:rPr/>
          <w:t>Sensibilització en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84">
        <w:r>
          <w:rPr/>
          <w:t>Ús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85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www.transformarelmon-guia.edualter.org/ca/instruments/diari-daula" TargetMode="External"/><Relationship Id="rId4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5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5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5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5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5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5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6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6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6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7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7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7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76" Type="http://schemas.openxmlformats.org/officeDocument/2006/relationships/hyperlink" Target="https://www.transformarelmon-guia.edualter.org/ca/instruments/portafoli1" TargetMode="External"/><Relationship Id="rId7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7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7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8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8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8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8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8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Relationship Id="rId8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