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Defensa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Defensen i promouen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Tercer i quart d’ESO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Discussió de grups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discussió de grups es defineix com una conversació planificada i dissenyada que es desenvolupa en un ambient permissiu i no directiu amb la finalitat d’obtenir informació d’una àrea definida d’interès. Aquesta proposta es duu a la pràctica amb grups conformats entre set i deu persones, aproximadament. Aquestes estan guiades per un moderador. La discussió és relaxada i permet als participants exposar les seves idees i comentaris en comú. Els membres dels grups s’acostumen a influenciar mútuament, donat que responen a les idees i comentaris que van sorgint a la discussió.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1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12">
        <w:r>
          <w:rPr/>
          <w:t>Desenvolupament de diferents conductes i relacions interpersonals basades en el respecte, el diàleg i la igualtat</w:t>
        </w:r>
      </w:hyperlink>
    </w:p>
    <w:p>
      <w:pPr>
        <w:pStyle w:val="Link4"/>
      </w:pPr>
      <w:hyperlink r:id="rId13">
        <w:r>
          <w:rPr/>
          <w:t>Manifestació de conductes i relacions interpersonals basades en el respecte, el diàleg i la igualtat</w:t>
        </w:r>
      </w:hyperlink>
    </w:p>
    <w:p>
      <w:pPr>
        <w:pStyle w:val="Link4"/>
      </w:pPr>
      <w:hyperlink r:id="rId14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15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16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18">
        <w:r>
          <w:rPr/>
          <w:t xml:space="preserve">Coneixement de les normes de l’aula </w:t>
        </w:r>
      </w:hyperlink>
    </w:p>
    <w:p>
      <w:pPr>
        <w:pStyle w:val="Link4"/>
      </w:pPr>
      <w:hyperlink r:id="rId19">
        <w:r>
          <w:rPr/>
          <w:t>Introducció a l’argumentació: capacitat d’explicar els propis motius</w:t>
        </w:r>
      </w:hyperlink>
    </w:p>
    <w:p>
      <w:pPr>
        <w:pStyle w:val="Link4"/>
      </w:pPr>
      <w:hyperlink r:id="rId20">
        <w:r>
          <w:rPr/>
          <w:t>Valoració de les normes de classe com a instrument de regulació de la convivència a l’aula i al centre escolar</w:t>
        </w:r>
      </w:hyperlink>
    </w:p>
    <w:p>
      <w:pPr>
        <w:pStyle w:val="Link4"/>
      </w:pPr>
      <w:hyperlink r:id="rId21">
        <w:r>
          <w:rPr/>
          <w:t>Pràctica de l’argumentació: capacitat d’explicar i justificar els posicionaments personals</w:t>
        </w:r>
      </w:hyperlink>
    </w:p>
    <w:p>
      <w:pPr>
        <w:pStyle w:val="Link4"/>
      </w:pPr>
      <w:hyperlink r:id="rId22">
        <w:r>
          <w:rPr/>
          <w:t>Capacitat d’argumentar els beneficis i les limitacions de l’acció pacífica per a resoldre els conflictes</w:t>
        </w:r>
      </w:hyperlink>
    </w:p>
    <w:p>
      <w:pPr>
        <w:pStyle w:val="Link4"/>
      </w:pPr>
      <w:hyperlink r:id="rId23">
        <w:r>
          <w:rPr/>
          <w:t>Capacitat de formular normes de classe que promoguin la convivència i de preveure mesures que siguin reparadores</w:t>
        </w:r>
      </w:hyperlink>
    </w:p>
    <w:p>
      <w:pPr>
        <w:pStyle w:val="Link4"/>
      </w:pPr>
      <w:hyperlink r:id="rId24">
        <w:r>
          <w:rPr/>
          <w:t>Obertura als arguments de les altres persones</w:t>
        </w:r>
      </w:hyperlink>
    </w:p>
    <w:p>
      <w:pPr>
        <w:pStyle w:val="Link4"/>
      </w:pPr>
      <w:hyperlink r:id="rId25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26">
        <w:r>
          <w:rPr/>
          <w:t>Definició conjunta i aplicació de normes de classe que promoguin la convivència, i de mesures reparadores</w:t>
        </w:r>
      </w:hyperlink>
    </w:p>
    <w:p>
      <w:pPr>
        <w:pStyle w:val="Link4"/>
      </w:pPr>
      <w:hyperlink r:id="rId27">
        <w:r>
          <w:rPr/>
          <w:t>Predisposició a matisar els propis arguments a partir de la dialèctica amb altres persones</w:t>
        </w:r>
      </w:hyperlink>
    </w:p>
    <w:p>
      <w:pPr>
        <w:pStyle w:val="Link4"/>
      </w:pPr>
      <w:hyperlink r:id="rId28">
        <w:r>
          <w:rPr/>
          <w:t>Capacitat de fer el seguiment i valorar el respecte de les normes de classe i el caràcter reparador de les mesures</w:t>
        </w:r>
      </w:hyperlink>
    </w:p>
    <w:p>
      <w:pPr>
        <w:pStyle w:val="Link4"/>
      </w:pPr>
      <w:hyperlink r:id="rId29">
        <w:r>
          <w:rPr/>
          <w:t xml:space="preserve">Pràctica i defensa de la dialèctica, com a forma d’apropar posicionaments amb l’altre i cooperar  </w:t>
        </w:r>
      </w:hyperlink>
    </w:p>
    <w:p>
      <w:pPr>
        <w:pStyle w:val="Link4"/>
      </w:pPr>
      <w:hyperlink r:id="rId30">
        <w:r>
          <w:rPr/>
          <w:t>Presentació dels conceptes de drets i deures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3">
        <w:r>
          <w:rPr/>
          <w:t>Presa de consciència del procés de construcció de la pròpia identitat com a subjecte polític</w:t>
        </w:r>
      </w:hyperlink>
    </w:p>
    <w:p>
      <w:pPr>
        <w:pStyle w:val="Link4"/>
      </w:pPr>
      <w:hyperlink r:id="rId34">
        <w:r>
          <w:rPr/>
          <w:t xml:space="preserve">Anàlisi del tipus de relacions que s’estableixen entre els diferents agents que participen en l’organització de la vida pública i de les seves funcions </w:t>
        </w:r>
      </w:hyperlink>
    </w:p>
    <w:p>
      <w:pPr>
        <w:pStyle w:val="Link4"/>
      </w:pPr>
      <w:hyperlink r:id="rId3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36">
        <w:r>
          <w:rPr/>
          <w:t>Reflexió crítica sobre el tipus de relacions que s’estableixen entre els diferents agents que participen en l’organització de la vida pública i sobre les seves funcions</w:t>
        </w:r>
      </w:hyperlink>
    </w:p>
    <w:p>
      <w:pPr>
        <w:pStyle w:val="Link4"/>
      </w:pPr>
      <w:hyperlink r:id="rId37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38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39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40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41">
        <w:r>
          <w:rPr/>
          <w:t>Assumpció i interiorització d’habilitats per a la comunicació i la convivència que contribueixin a orientar les relacions interpersonals amb una perspectiva ètica tant en l’entorn proper com llunyà</w:t>
        </w:r>
      </w:hyperlink>
    </w:p>
    <w:p>
      <w:pPr>
        <w:pStyle w:val="Link4"/>
      </w:pPr>
      <w:hyperlink r:id="rId42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43">
        <w:r>
          <w:rPr/>
          <w:t>Observació d'actituds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47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48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49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50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51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2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53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54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7">
        <w:r>
          <w:rPr/>
          <w:t>Defensa del conflicte com a oportunitat de canvi social</w:t>
        </w:r>
      </w:hyperlink>
    </w:p>
    <w:p>
      <w:pPr>
        <w:pStyle w:val="Link4"/>
      </w:pPr>
      <w:hyperlink r:id="rId56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7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8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59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60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61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6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1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6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6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2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65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8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6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70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71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72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73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74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75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6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79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80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81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2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8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8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8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Contractes didàctics</w:t>
        </w:r>
      </w:hyperlink>
    </w:p>
    <w:p/>
    <w:p>
      <w:pPr>
        <w:pStyle w:val="Heading3"/>
      </w:pPr>
      <w:r>
        <w:t>Aprenentatge servei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servei és una proposta educativa que combina processos d'aprenentatge i de servei a la comunitat en un únic projecte ben articulat en el qual els participants es formen treballant sobre necessitats reals de l'entorn amb l'objectiu de millorar-ho. La relació circular que s'estableix entre l'aprenentatge i el servei genera una nova realitat que intensifica els efectes de cada un per separat. L'aprenentatge millora el servei a la comunitat, perquè aquest guanya en qualitat, i el servei dóna sentit a l'aprenentatge, perquè allò que s'aprèn es pot transferir a la realitat en forma d'acció.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0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8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90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55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91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2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93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94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95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96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66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7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97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98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99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100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101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02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103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104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>
      <w:pPr>
        <w:pStyle w:val="Link4"/>
      </w:pPr>
      <w:hyperlink r:id="rId8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5">
        <w:r>
          <w:rPr/>
          <w:t>Carpeta d'aprenentatge</w:t>
        </w:r>
      </w:hyperlink>
    </w:p>
    <w:p>
      <w:pPr>
        <w:pStyle w:val="Link4"/>
      </w:pPr>
      <w:hyperlink r:id="rId106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7">
        <w:r>
          <w:rPr/>
          <w:t>Reconeixement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08">
        <w:r>
          <w:rPr/>
          <w:t xml:space="preserve">Consciènciació i autonomia en la construcció del propi model de masculinitat i feminitat.  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4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5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46">
        <w:r>
          <w:rPr/>
          <w:t>Reivindicació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1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1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3s4" TargetMode="External"/><Relationship Id="rId1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1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i" TargetMode="External"/><Relationship Id="rId1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i" TargetMode="External"/><Relationship Id="rId2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m" TargetMode="External"/><Relationship Id="rId2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m" TargetMode="External"/><Relationship Id="rId2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m" TargetMode="External"/><Relationship Id="rId2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5_cp_bb_cs" TargetMode="External"/><Relationship Id="rId2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6_cp_bb_cs" TargetMode="External"/><Relationship Id="rId2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2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1s2" TargetMode="External"/><Relationship Id="rId2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1s2" TargetMode="External"/><Relationship Id="rId2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5_cp_bb_s3s4" TargetMode="External"/><Relationship Id="rId2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6_cp_bb_s3s4" TargetMode="External"/><Relationship Id="rId3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i" TargetMode="External"/><Relationship Id="rId3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3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33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s" TargetMode="External"/><Relationship Id="rId3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1s2" TargetMode="External"/><Relationship Id="rId3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3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2_ddhh_bb_s3s4" TargetMode="External"/><Relationship Id="rId37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39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4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3_ddhh_bc_s3s4" TargetMode="External"/><Relationship Id="rId42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43" Type="http://schemas.openxmlformats.org/officeDocument/2006/relationships/hyperlink" Target="https://www.transformarelmon-guia.edualter.org/ca/instruments/observacio-dactituds" TargetMode="External"/><Relationship Id="rId4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4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4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4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4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4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5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5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5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5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5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5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8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5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6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6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6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6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6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65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6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6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6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6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7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7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7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7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7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7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7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8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8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8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8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8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8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8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8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88" Type="http://schemas.openxmlformats.org/officeDocument/2006/relationships/hyperlink" Target="https://www.transformarelmon-guia.edualter.org/ca/instruments/contractes-didactics" TargetMode="External"/><Relationship Id="rId8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9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91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92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9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9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9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96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9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9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9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10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0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0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10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105" Type="http://schemas.openxmlformats.org/officeDocument/2006/relationships/hyperlink" Target="https://www.transformarelmon-guia.edualter.org/ca/instruments/carpeta-daprenentatge" TargetMode="External"/><Relationship Id="rId106" Type="http://schemas.openxmlformats.org/officeDocument/2006/relationships/hyperlink" Target="https://www.transformarelmon-guia.edualter.org/ca/instruments/portafoli1" TargetMode="External"/><Relationship Id="rId10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1s2" TargetMode="External"/><Relationship Id="rId10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