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Percepció de les principals situacions de desigualtat, injustícia i discriminació per motiu de gènere, sexe o opció afectivosexual.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Conèixer els diferents models de feminitat i masculinitat existents en les societats plurals i les seves conseqüències a nivell social i històric.</w:t>
      </w:r>
    </w:p>
    <w:p/>
    <w:p>
      <w:pPr>
        <w:pStyle w:val="Heading1"/>
      </w:pPr>
      <w:r>
        <w:t>CRITERI D'AVALUACIÓ</w:t>
      </w:r>
    </w:p>
    <w:p>
      <w:pPr/>
      <w:r>
        <w:t>Identifiquen les principals situacions de desigualtat, injustícia i discriminació per motiu de gènere, sexe o opció afectivosexual.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de la importància de la participació i coresponsabilitat en les tasques de la vida</w:t>
        <w:br/>
        <w:br/>
        <w:br/>
        <w:t>domèstica, escolar i social, superant estereotips sexistes.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82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Representació de situacions quotidianes on s’assumeixin rols culturals diferents del propi, s’observin</w:t>
        <w:br/>
        <w:br/>
        <w:br/>
        <w:t>les manifestacions culturals de l’entorn i es valori la seva diversitat i riquesa.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83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4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65">
        <w:r>
          <w:rPr/>
          <w:t>Identificació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www.transformarelmon-guia.edualter.org/ca/instruments/observacio-dactituds" TargetMode="External"/><Relationship Id="rId6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m" TargetMode="External"/><Relationship Id="rId6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