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Interès per aprofundir en els diferents models de masculinitat i feminitat que es donen en les societats actuals.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Conèixer els diferents models de feminitat i masculinitat existents en les societats plurals i les seves conseqüències a nivell social i històric.</w:t>
      </w:r>
    </w:p>
    <w:p/>
    <w:p>
      <w:pPr>
        <w:pStyle w:val="Heading1"/>
      </w:pPr>
      <w:r>
        <w:t>CRITERI D'AVALUACIÓ</w:t>
      </w:r>
    </w:p>
    <w:p>
      <w:pPr/>
      <w:r>
        <w:t>S’interessen per aprofundir en els diferents models de masculinitat i feminitat que es donen en les societats actuals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Masculinitats i feminitats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emprenedora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8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32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3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4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35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6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41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43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44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45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6">
        <w:r>
          <w:rPr/>
          <w:t>Defensa del conflicte com a oportunitat de canvi social</w:t>
        </w:r>
      </w:hyperlink>
    </w:p>
    <w:p>
      <w:pPr>
        <w:pStyle w:val="Link4"/>
      </w:pPr>
      <w:hyperlink r:id="rId47">
        <w:r>
          <w:rPr/>
          <w:t xml:space="preserve">Coneixement de les normes de l’aula 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48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49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50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51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52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53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54">
        <w:r>
          <w:rPr/>
          <w:t>Presentació dels conceptes de drets i deures</w:t>
        </w:r>
      </w:hyperlink>
    </w:p>
    <w:p>
      <w:pPr>
        <w:pStyle w:val="Link4"/>
      </w:pPr>
      <w:hyperlink r:id="rId55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6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57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5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59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60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61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62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63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64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65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6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67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8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69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70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71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72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7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74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75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76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77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78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7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8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8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8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83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8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8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8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8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8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9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9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9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9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9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9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9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97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98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46">
        <w:r>
          <w:rPr/>
          <w:t>Defensa del conflicte com a oportunitat de canvi social</w:t>
        </w:r>
      </w:hyperlink>
    </w:p>
    <w:p>
      <w:pPr>
        <w:pStyle w:val="Link4"/>
      </w:pPr>
      <w:hyperlink r:id="rId9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100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101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102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103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104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105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06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107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8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09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dels canvis físics i personals en les diferents etapes de la vida.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10">
        <w:r>
          <w:rPr/>
          <w:t>Identificació de diferents models de masculinitat i feminitat que es donen en les societats actuals.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70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1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2">
        <w:r>
          <w:rPr/>
          <w:t>Identificació dels drets i deures individuals i col·lectius en qüestió de gènere.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2">
        <w:r>
          <w:rPr/>
          <w:t>Presa de consciència del propi procès de construcció de la masculinitat i la feminitat.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consciència i expressió culturals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42" Type="http://schemas.openxmlformats.org/officeDocument/2006/relationships/hyperlink" Target="https://www.transformarelmon-guia.edualter.org/ca/instruments/observacio-dactituds" TargetMode="External"/><Relationship Id="rId4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4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4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5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5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5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5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5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6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6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6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6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6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6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7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7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7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7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7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7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7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7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8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8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8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8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8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8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8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9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9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9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9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9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9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9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9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9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9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10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10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10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10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10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0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1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