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personal, social i d'aprendre a aprendre</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Interès per aprofundir en els diferents models de masculinitat i feminitat que es donen en les societats actuals.</w:t>
        </w:r>
      </w:hyperlink>
    </w:p>
    <w:p>
      <w:pPr>
        <w:pStyle w:val="Link4"/>
      </w:pPr>
      <w:hyperlink r:id="rId69">
        <w:r>
          <w:rPr/>
          <w:t>Valoració de les semblances i diferències de gènere com a element enriquidor de les relacions interpersonals.</w:t>
        </w:r>
      </w:hyperlink>
    </w:p>
    <w:p>
      <w:pPr>
        <w:pStyle w:val="Link4"/>
      </w:pPr>
      <w:hyperlink r:id="rId70">
        <w:r>
          <w:rPr/>
          <w:t>Valoració de situacions de desigualtat, injustícia i discriminació per motiu de gènere, sexe o opció afectivosexual.</w:t>
        </w:r>
      </w:hyperlink>
    </w:p>
    <w:p>
      <w:pPr>
        <w:pStyle w:val="Link4"/>
      </w:pPr>
      <w:hyperlink r:id="rId71">
        <w:r>
          <w:rPr/>
          <w:t>Reflexió crítica de les semblances i les diferències de gènere com a element enriquidor de les relacions interpersonals.</w:t>
        </w:r>
      </w:hyperlink>
    </w:p>
    <w:p>
      <w:pPr>
        <w:pStyle w:val="Link4"/>
      </w:pPr>
      <w:hyperlink r:id="rId72">
        <w:r>
          <w:rPr/>
          <w:t>Reivindicació del paper de la dona i els sabers femenins com a motor de canvi i transformació social.</w:t>
        </w:r>
      </w:hyperlink>
    </w:p>
    <w:p>
      <w:pPr>
        <w:pStyle w:val="Link4"/>
      </w:pPr>
      <w:hyperlink r:id="rId73">
        <w:r>
          <w:rPr/>
          <w:t>Pràctica de diferents conductes i relacions interpersonals basades en el respecte, el diàleg i la igualtat</w:t>
        </w:r>
      </w:hyperlink>
    </w:p>
    <w:p>
      <w:pPr>
        <w:pStyle w:val="Link4"/>
      </w:pPr>
      <w:hyperlink r:id="rId74">
        <w:r>
          <w:rPr/>
          <w:t>Sensibilització en les diferents identitats de gènere, identitats sexuals i opcions afectivosexuals</w:t>
        </w:r>
      </w:hyperlink>
    </w:p>
    <w:p>
      <w:pPr>
        <w:pStyle w:val="Link4"/>
      </w:pPr>
      <w:hyperlink r:id="rId75">
        <w:r>
          <w:rPr/>
          <w:t>Ús de diferents conductes i relacions interpersonals basades en el respecte, el diàleg i la igualtat</w:t>
        </w:r>
      </w:hyperlink>
    </w:p>
    <w:p>
      <w:pPr>
        <w:pStyle w:val="Link4"/>
      </w:pPr>
      <w:hyperlink r:id="rId76">
        <w:r>
          <w:rPr/>
          <w:t>Desenvolupament de diferents conductes i relacions interpersonals basades en el respecte, el diàleg i la igualtat</w:t>
        </w:r>
      </w:hyperlink>
    </w:p>
    <w:p>
      <w:pPr>
        <w:pStyle w:val="Link4"/>
      </w:pPr>
      <w:hyperlink r:id="rId77">
        <w:r>
          <w:rPr/>
          <w:t>Manifestació de conductes i relacions interpersonals basades en el respecte, el diàleg i la igualtat</w:t>
        </w:r>
      </w:hyperlink>
    </w:p>
    <w:p>
      <w:pPr>
        <w:pStyle w:val="Link4"/>
      </w:pPr>
      <w:hyperlink r:id="rId78">
        <w:r>
          <w:rPr/>
          <w:t>Pràctica d'actituds cooperatives, solidàries i crítiques davant situacions de discriminació per motiu de gènere, sexe i opció afectivasexual</w:t>
        </w:r>
      </w:hyperlink>
    </w:p>
    <w:p>
      <w:pPr>
        <w:pStyle w:val="Link4"/>
      </w:pPr>
      <w:hyperlink r:id="rId7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
        <w:r>
          <w:rPr/>
          <w:t>Aprofundiment en els comportaments i actituds discriminatòries en diferents àmbits de la vida</w:t>
        </w:r>
      </w:hyperlink>
    </w:p>
    <w:p>
      <w:pPr>
        <w:pStyle w:val="Link4"/>
      </w:pPr>
      <w:hyperlink r:id="rId80">
        <w:r>
          <w:rPr/>
          <w:t>Capacitat d’argumentar els reptes i els beneficis de respectar el procés i de trobar una sortida justa per resoldre els conflictes  interpersonals i socials</w:t>
        </w:r>
      </w:hyperlink>
    </w:p>
    <w:p>
      <w:pPr>
        <w:pStyle w:val="Link4"/>
      </w:pPr>
      <w:hyperlink r:id="rId81">
        <w:r>
          <w:rPr/>
          <w:t>Introducció a l’argumentació: capacitat d’explicar els propis motius</w:t>
        </w:r>
      </w:hyperlink>
    </w:p>
    <w:p>
      <w:pPr>
        <w:pStyle w:val="Link4"/>
      </w:pPr>
      <w:hyperlink r:id="rId82">
        <w:r>
          <w:rPr/>
          <w:t>Pràctica de l’argumentació: capacitat d’explicar i justificar els posicionaments personals</w:t>
        </w:r>
      </w:hyperlink>
    </w:p>
    <w:p>
      <w:pPr>
        <w:pStyle w:val="Link4"/>
      </w:pPr>
      <w:hyperlink r:id="rId83">
        <w:r>
          <w:rPr/>
          <w:t>Obertura als arguments de les altres persones</w:t>
        </w:r>
      </w:hyperlink>
    </w:p>
    <w:p>
      <w:pPr>
        <w:pStyle w:val="Link4"/>
      </w:pPr>
      <w:hyperlink r:id="rId84">
        <w:r>
          <w:rPr/>
          <w:t>Predisposició a matisar els propis arguments a partir de la dialèctica amb altres persones</w:t>
        </w:r>
      </w:hyperlink>
    </w:p>
    <w:p>
      <w:pPr>
        <w:pStyle w:val="Link4"/>
      </w:pPr>
      <w:hyperlink r:id="rId85">
        <w:r>
          <w:rPr/>
          <w:t xml:space="preserve">Pràctica i defensa de la dialèctica, com a forma d’apropar posicionaments amb l’altre i cooperar  </w:t>
        </w:r>
      </w:hyperlink>
    </w:p>
    <w:p>
      <w:pPr>
        <w:pStyle w:val="Link4"/>
      </w:pPr>
      <w:hyperlink r:id="rId86">
        <w:r>
          <w:rPr/>
          <w:t>Reconeixement dels drets i deures propis i dels de les altres persones de l'entorn</w:t>
        </w:r>
      </w:hyperlink>
    </w:p>
    <w:p>
      <w:pPr>
        <w:pStyle w:val="Link4"/>
      </w:pPr>
      <w:hyperlink r:id="rId8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88">
        <w:r>
          <w:rPr/>
          <w:t>Presa de consciència del procés de construcció de la pròpia identitat com a subjecte polític</w:t>
        </w:r>
      </w:hyperlink>
    </w:p>
    <w:p>
      <w:pPr>
        <w:pStyle w:val="Link4"/>
      </w:pPr>
      <w:hyperlink r:id="rId8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0">
        <w:r>
          <w:rPr/>
          <w:t>Presentació i pràctica de les diferents habilitats per a la comunicació i la convivència a l’aula</w:t>
        </w:r>
      </w:hyperlink>
    </w:p>
    <w:p>
      <w:pPr>
        <w:pStyle w:val="Link4"/>
      </w:pPr>
      <w:hyperlink r:id="rId91">
        <w:r>
          <w:rPr/>
          <w:t>Pràctica de les diferents habilitats per a la comunicació i la convivència a l’aula i al centre</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96">
        <w:r>
          <w:rPr/>
          <w:t>Argumentació i assumpció d’hàbits i comportaments respectuosos amb el medi ambient i l’entorn natural</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8">
        <w:r>
          <w:rPr/>
          <w:t xml:space="preserve">Coneixement de les normes de l’aula </w:t>
        </w:r>
      </w:hyperlink>
    </w:p>
    <w:p>
      <w:pPr>
        <w:pStyle w:val="Link4"/>
      </w:pPr>
      <w:hyperlink r:id="rId99">
        <w:r>
          <w:rPr/>
          <w:t>Valoració de les normes de classe com a instrument de regulació de la convivència a l’aula i al centre escolar</w:t>
        </w:r>
      </w:hyperlink>
    </w:p>
    <w:p>
      <w:pPr>
        <w:pStyle w:val="Link4"/>
      </w:pPr>
      <w:hyperlink r:id="rId100">
        <w:r>
          <w:rPr/>
          <w:t>Capacitat de formular normes de classe que promoguin la convivència i de preveure mesures que siguin reparadores</w:t>
        </w:r>
      </w:hyperlink>
    </w:p>
    <w:p>
      <w:pPr>
        <w:pStyle w:val="Link4"/>
      </w:pPr>
      <w:hyperlink r:id="rId101">
        <w:r>
          <w:rPr/>
          <w:t>Definició conjunta i aplicació de normes de classe que promoguin la convivència, i de mesures reparadores</w:t>
        </w:r>
      </w:hyperlink>
    </w:p>
    <w:p>
      <w:pPr>
        <w:pStyle w:val="Link4"/>
      </w:pPr>
      <w:hyperlink r:id="rId102">
        <w:r>
          <w:rPr/>
          <w:t>Capacitat de fer el seguiment i valorar el respecte de les normes de classe i el caràcter reparador de les mesures</w:t>
        </w:r>
      </w:hyperlink>
    </w:p>
    <w:p>
      <w:pPr>
        <w:pStyle w:val="Link4"/>
      </w:pPr>
      <w:hyperlink r:id="rId103">
        <w:r>
          <w:rPr/>
          <w:t xml:space="preserve">Observació del valor de les normes  d’aula i de centre </w:t>
        </w:r>
      </w:hyperlink>
    </w:p>
    <w:p>
      <w:pPr>
        <w:pStyle w:val="Link4"/>
      </w:pPr>
      <w:hyperlink r:id="rId104">
        <w:r>
          <w:rPr/>
          <w:t>Observació d’aspectes de la organització d’aula o de centre que s’haurien de millorar</w:t>
        </w:r>
      </w:hyperlink>
    </w:p>
    <w:p>
      <w:pPr>
        <w:pStyle w:val="Link4"/>
      </w:pPr>
      <w:hyperlink r:id="rId105">
        <w:r>
          <w:rPr/>
          <w:t>Respecte a les normes  d’aula i de centre, reconeixent-ne el benefici per una mateixa i per les altres persones</w:t>
        </w:r>
      </w:hyperlink>
    </w:p>
    <w:p>
      <w:pPr>
        <w:pStyle w:val="Link4"/>
      </w:pPr>
      <w:hyperlink r:id="rId106">
        <w:r>
          <w:rPr/>
          <w:t>Formulació puntual d’alternatives per tal de millorar aspectes de la organització d’aula o de centre</w:t>
        </w:r>
      </w:hyperlink>
    </w:p>
    <w:p>
      <w:pPr>
        <w:pStyle w:val="Link4"/>
      </w:pPr>
      <w:hyperlink r:id="rId107">
        <w:r>
          <w:rPr/>
          <w:t>Valoració positiva de a les normes  d’aula i de centre, reconeixent-ne el benefici per una mateixa i per les altres persones</w:t>
        </w:r>
      </w:hyperlink>
    </w:p>
    <w:p>
      <w:pPr>
        <w:pStyle w:val="Link4"/>
      </w:pPr>
      <w:hyperlink r:id="rId108">
        <w:r>
          <w:rPr/>
          <w:t>Valoració crítica de diferents alternatives per decidir quines contribueixen més a millorar aspectes de la organització d’aula o de centre</w:t>
        </w:r>
      </w:hyperlink>
    </w:p>
    <w:p>
      <w:pPr>
        <w:pStyle w:val="Link4"/>
      </w:pPr>
      <w:hyperlink r:id="rId109">
        <w:r>
          <w:rPr/>
          <w:t>Valoració positiva de les normes de centre i socials, reconeixent-ne el benefici per una mateixa, per les altres persones i per la societat</w:t>
        </w:r>
      </w:hyperlink>
    </w:p>
    <w:p>
      <w:pPr>
        <w:pStyle w:val="Link4"/>
      </w:pPr>
      <w:hyperlink r:id="rId110">
        <w:r>
          <w:rPr/>
          <w:t>Reconeixement de i no col•laboració amb principis, normes i formes d’organització injustes</w:t>
        </w:r>
      </w:hyperlink>
    </w:p>
    <w:p>
      <w:pPr>
        <w:pStyle w:val="Link4"/>
      </w:pPr>
      <w:hyperlink r:id="rId111">
        <w:r>
          <w:rPr/>
          <w:t>Presentació i pràctica de les normes, i de la seva importància per a la convivència democràtica en els diferents àmbits relacionals</w:t>
        </w:r>
      </w:hyperlink>
    </w:p>
    <w:p>
      <w:pPr>
        <w:pStyle w:val="Link4"/>
      </w:pPr>
      <w:hyperlink r:id="rId112">
        <w:r>
          <w:rPr/>
          <w:t>Interès en prendre decisions de forma autònoma i expressar-les</w:t>
        </w:r>
      </w:hyperlink>
    </w:p>
    <w:p>
      <w:pPr>
        <w:pStyle w:val="Link4"/>
      </w:pPr>
      <w:hyperlink r:id="rId113">
        <w:r>
          <w:rPr/>
          <w:t>Identificació dels propis compromisos i responsabilitats en relació a  la planificació, organització i realització de les tasques escolars i familiars</w:t>
        </w:r>
      </w:hyperlink>
    </w:p>
    <w:p>
      <w:pPr>
        <w:pStyle w:val="Link4"/>
      </w:pPr>
      <w:hyperlink r:id="rId91">
        <w:r>
          <w:rPr/>
          <w:t>Pràctica de les diferents habilitats per a la comunicació i la convivència a l’aula i al centre</w:t>
        </w:r>
      </w:hyperlink>
    </w:p>
    <w:p>
      <w:pPr>
        <w:pStyle w:val="Link4"/>
      </w:pPr>
      <w:hyperlink r:id="rId114">
        <w:r>
          <w:rPr/>
          <w:t>Identificació i pràctica de les diferents normes per a la  convivència democràtica al centre, la família i l’entorn proper</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115">
        <w:r>
          <w:rPr/>
          <w:t>Compromís en la construcció i el respecte de normes per a la  convivència democràtica en l’àmbit escolar, familiar i en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11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119">
        <w:r>
          <w:rPr/>
          <w:t>Desenvolupament de nous mecanismes i vies de participació democràtica a l’aula, al centre i a l’entorn, indagant propostes de millora i aprofundiment democràtic</w:t>
        </w:r>
      </w:hyperlink>
    </w:p>
    <w:p>
      <w:pPr>
        <w:pStyle w:val="Link4"/>
      </w:pPr>
      <w:hyperlink r:id="rId120">
        <w:r>
          <w:rPr/>
          <w:t>Inici en la pràctica de presa de decisions i de construcció consensuada d'algunes normes bàsiques per organitzar a la convivència a l’aula i al centre</w:t>
        </w:r>
      </w:hyperlink>
    </w:p>
    <w:p>
      <w:pPr>
        <w:pStyle w:val="Link4"/>
      </w:pPr>
      <w:hyperlink r:id="rId121">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22">
        <w:r>
          <w:rPr/>
          <w:t>Establiment de relacions de convivència a l'aula, al centre i a l'entorn basades en l'estima, el respecte i la conficança en un mateix i en les altres persones</w:t>
        </w:r>
      </w:hyperlink>
    </w:p>
    <w:p>
      <w:pPr>
        <w:pStyle w:val="Link4"/>
      </w:pPr>
      <w:hyperlink r:id="rId123">
        <w:r>
          <w:rPr/>
          <w:t>Participació en la presa de decisions i en la construcció consensuada d'unes normes bàsiques per organitzar la convivència a l’aula i al  centre</w:t>
        </w:r>
      </w:hyperlink>
    </w:p>
    <w:p>
      <w:pPr>
        <w:pStyle w:val="Link4"/>
      </w:pPr>
      <w:hyperlink r:id="rId124">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acceptació de les normes de joc, les activitats i els esports practicats.</w:t>
      </w:r>
    </w:p>
    <w:p/>
    <w:p>
      <w:pPr>
        <w:pStyle w:val="Heading4"/>
      </w:pPr>
      <w:r>
        <w:t>CRITERI D'AVALUACIÓ</w:t>
      </w:r>
    </w:p>
    <w:p/>
    <w:p>
      <w:pPr>
        <w:pStyle w:val="Heading4"/>
      </w:pPr>
      <w:r>
        <w:t>PÀGINA REFERÈNCIA DOCUMENT CURRÍCULUM</w:t>
      </w:r>
    </w:p>
    <w:p>
      <w:pPr>
        <w:pStyle w:val="Normal4"/>
      </w:pPr>
      <w:r>
        <w:t>Pàgina 134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de les normes socials i democràtiques que regeixen en un treball d’equip.</w:t>
      </w:r>
    </w:p>
    <w:p/>
    <w:p>
      <w:pPr>
        <w:pStyle w:val="Heading4"/>
      </w:pPr>
      <w:r>
        <w:t>CRITERI D'AVALUACIÓ</w:t>
      </w:r>
    </w:p>
    <w:p/>
    <w:p>
      <w:pPr>
        <w:pStyle w:val="Heading4"/>
      </w:pPr>
      <w:r>
        <w:t>PÀGINA REFERÈNCIA DOCUMENT CURRÍCULUM</w:t>
      </w:r>
    </w:p>
    <w:p>
      <w:pPr>
        <w:pStyle w:val="Normal4"/>
      </w:pPr>
      <w:r>
        <w:t>Pàgina 140</w:t>
      </w:r>
    </w:p>
    <w:p/>
    <w:p>
      <w:pPr>
        <w:pStyle w:val="Heading4"/>
      </w:pPr>
      <w:r>
        <w:t>COMPETÈNCIA</w:t>
      </w:r>
    </w:p>
    <w:p>
      <w:pPr>
        <w:pStyle w:val="ListBullet2"/>
      </w:pPr>
      <w:r>
        <w:t>Competència ciutadana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Organització i valoració del treball individual per progressar en l’aprenentatge de manera autònoma </w:t>
        <w:br/>
        <w:br/>
        <w:br/>
        <w:t>i per a la millora personal i del treball en equip per a la construcció col·lectiva del coneixement.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personal, social i d'aprendre a aprendre</w:t>
      </w:r>
    </w:p>
    <w:p>
      <w:pPr>
        <w:pStyle w:val="ListBullet2"/>
      </w:pPr>
      <w:r>
        <w:t>Competència emprenedora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25">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2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p>
      <w:pPr>
        <w:pStyle w:val="Link"/>
      </w:pPr>
      <w:hyperlink r:id="rId95">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7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8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8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8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8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9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0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0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0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11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11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1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1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11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2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12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12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12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12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