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en comunicació lingüística</w:t>
      </w:r>
    </w:p>
    <w:p>
      <w:pPr>
        <w:pStyle w:val="ListBullet"/>
      </w:pPr>
      <w:r>
        <w:t>Competència personal, social i d'aprendre a aprendre</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