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personal, social i d'aprendre a aprendre</w:t>
      </w:r>
    </w:p>
    <w:p>
      <w:pPr>
        <w:pStyle w:val="ListBullet"/>
      </w:pPr>
      <w:r>
        <w:t>Competència en comunicació lingüística</w:t>
      </w:r>
    </w:p>
    <w:p>
      <w:pPr>
        <w:pStyle w:val="ListBullet"/>
      </w:pPr>
      <w:r>
        <w:t>Competència digital</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www.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