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digital</w:t>
      </w:r>
    </w:p>
    <w:p>
      <w:pPr>
        <w:pStyle w:val="ListBullet"/>
      </w:pPr>
      <w:r>
        <w:t>Competència ciutadana</w:t>
      </w:r>
    </w:p>
    <w:p>
      <w:pPr>
        <w:pStyle w:val="ListBullet"/>
      </w:pPr>
      <w:r>
        <w:t>Competència en comunicació lingüística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www.transformarelmon-guia.edualter.org/ca/instruments/portafoli1"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www.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