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Anàlisi i valoració  de les funcions, límits i interdependències existents entre institucions, associacions, moviments i xarxes socialS de l’àmbit local, nacional i internacional</w:t>
      </w:r>
    </w:p>
    <w:p/>
    <w:p>
      <w:pPr>
        <w:pStyle w:val="Heading1"/>
      </w:pPr>
      <w:r>
        <w:t>OBJECTIU EIX</w:t>
      </w:r>
    </w:p>
    <w:p>
      <w:pPr/>
      <w:r>
        <w:t>Ser persones crítiques, responsables, solidàries i actives en la defensa dels drets humans i la participació democràtica orientades a la construcció d’una societat més justa i equitativa.</w:t>
      </w:r>
    </w:p>
    <w:p/>
    <w:p>
      <w:pPr>
        <w:pStyle w:val="Heading1"/>
      </w:pPr>
      <w:r>
        <w:t>OBJECTIU BLOC</w:t>
      </w:r>
    </w:p>
    <w:p>
      <w:pPr/>
      <w:r>
        <w:t>Construir la pròpia identitat com a subjecte polític, a partir de l’anàlisi crítica del sistema democràtic i de les funcions dels diferents actors polítics, econòmics i socials a nivell local i global, posant especial èmfasi en el paper dels mitjans de comunicació i les TIC.</w:t>
      </w:r>
    </w:p>
    <w:p/>
    <w:p>
      <w:pPr>
        <w:pStyle w:val="Heading1"/>
      </w:pPr>
      <w:r>
        <w:t>CRITERI D'AVALUACIÓ</w:t>
      </w:r>
    </w:p>
    <w:p>
      <w:pPr/>
      <w:r>
        <w:t>Analitzen i valoren les funcions, límits i interdependències existents entre institucions, associacions, moviments i xarxes social de l’àmbit local, nacional i internacional.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La governança com a estratègia organitzativa del col·lectiu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Discussió de grups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Una discussió de grups es defineix com una conversació planificada i dissenyada que es desenvolupa en un ambient permissiu i no directiu amb la finalitat d’obtenir informació d’una àrea definida d’interès. Aquesta proposta es duu a la pràctica amb grups conformats entre set i deu persones, aproximadament. Aquestes estan guiades per un moderador. La discussió és relaxada i permet als participants exposar les seves idees i comentaris en comú. Els membres dels grups s’acostumen a influenciar mútuament, donat que responen a les idees i comentaris que van sorgint a la discussió.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1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2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13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14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15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16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17">
        <w:r>
          <w:rPr/>
          <w:t>Defensa del conflicte com a oportunitat de canvi social</w:t>
        </w:r>
      </w:hyperlink>
    </w:p>
    <w:p>
      <w:pPr>
        <w:pStyle w:val="Link4"/>
      </w:pPr>
      <w:hyperlink r:id="rId18">
        <w:r>
          <w:rPr/>
          <w:t xml:space="preserve">Coneixement de les normes de l’aula </w:t>
        </w:r>
      </w:hyperlink>
    </w:p>
    <w:p>
      <w:pPr>
        <w:pStyle w:val="Link4"/>
      </w:pPr>
      <w:hyperlink r:id="rId19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20">
        <w:r>
          <w:rPr/>
          <w:t>Valoració de les normes de classe com a instrument de regulació de la convivència a l’aula i al centre escolar</w:t>
        </w:r>
      </w:hyperlink>
    </w:p>
    <w:p>
      <w:pPr>
        <w:pStyle w:val="Link4"/>
      </w:pPr>
      <w:hyperlink r:id="rId21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Capacitat de formular normes de classe que promoguin la convivència i de preveure mesures que siguin reparadores</w:t>
        </w:r>
      </w:hyperlink>
    </w:p>
    <w:p>
      <w:pPr>
        <w:pStyle w:val="Link4"/>
      </w:pPr>
      <w:hyperlink r:id="rId24">
        <w:r>
          <w:rPr/>
          <w:t>Obertura als arguments de les altres persones</w:t>
        </w:r>
      </w:hyperlink>
    </w:p>
    <w:p>
      <w:pPr>
        <w:pStyle w:val="Link4"/>
      </w:pPr>
      <w:hyperlink r:id="rId25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26">
        <w:r>
          <w:rPr/>
          <w:t>Definició conjunta i aplicació de normes de classe que promoguin la convivència, i de mesures reparadores</w:t>
        </w:r>
      </w:hyperlink>
    </w:p>
    <w:p>
      <w:pPr>
        <w:pStyle w:val="Link4"/>
      </w:pPr>
      <w:hyperlink r:id="rId27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28">
        <w:r>
          <w:rPr/>
          <w:t>Capacitat de fer el seguiment i valorar el respecte de les normes de classe i el caràcter reparador de les mesures</w:t>
        </w:r>
      </w:hyperlink>
    </w:p>
    <w:p>
      <w:pPr>
        <w:pStyle w:val="Link4"/>
      </w:pPr>
      <w:hyperlink r:id="rId29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30">
        <w:r>
          <w:rPr/>
          <w:t>Presentació dels conceptes de drets i deures</w:t>
        </w:r>
      </w:hyperlink>
    </w:p>
    <w:p>
      <w:pPr>
        <w:pStyle w:val="Link4"/>
      </w:pPr>
      <w:hyperlink r:id="rId31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32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33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34">
        <w:r>
          <w:rPr/>
          <w:t xml:space="preserve">Anàlisi del tipus de relacions que s’estableixen entre els diferents agents que participen en l’organització de la vida pública i de les seves funcions </w:t>
        </w:r>
      </w:hyperlink>
    </w:p>
    <w:p>
      <w:pPr>
        <w:pStyle w:val="Link4"/>
      </w:pPr>
      <w:hyperlink r:id="rId35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36">
        <w:r>
          <w:rPr/>
          <w:t>Reflexió crítica sobre el tipus de relacions que s’estableixen entre els diferents agents que participen en l’organització de la vida pública i sobre les seves funcions</w:t>
        </w:r>
      </w:hyperlink>
    </w:p>
    <w:p>
      <w:pPr>
        <w:pStyle w:val="Link4"/>
      </w:pPr>
      <w:hyperlink r:id="rId37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38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39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40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41">
        <w:r>
          <w:rPr/>
          <w:t>Assumpció i interiorització d’habilitats per a la comunicació i la convivència que contribueixin a orientar les relacions interpersonals amb una perspectiva ètica tant en l’entorn proper com llunyà</w:t>
        </w:r>
      </w:hyperlink>
    </w:p>
    <w:p>
      <w:pPr>
        <w:pStyle w:val="Link4"/>
      </w:pPr>
      <w:hyperlink r:id="rId42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3">
        <w:r>
          <w:rPr/>
          <w:t>Observació d'actituds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4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45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46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4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4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4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50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51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52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53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54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55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56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57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58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59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60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1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62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3">
        <w:r>
          <w:rPr/>
          <w:t>Introducció a la dimensió internacional, al planeta i a altres països</w:t>
        </w:r>
      </w:hyperlink>
    </w:p>
    <w:p>
      <w:pPr>
        <w:pStyle w:val="Link4"/>
      </w:pPr>
      <w:hyperlink r:id="rId64">
        <w:r>
          <w:rPr/>
          <w:t>Presentació de les Nacions Unides i dels drets humans</w:t>
        </w:r>
      </w:hyperlink>
    </w:p>
    <w:p>
      <w:pPr>
        <w:pStyle w:val="Link4"/>
      </w:pPr>
      <w:hyperlink r:id="rId65">
        <w:r>
          <w:rPr/>
          <w:t>Coneixement del rol de les Nacions Unides i del dret internacional</w:t>
        </w:r>
      </w:hyperlink>
    </w:p>
    <w:p>
      <w:pPr>
        <w:pStyle w:val="Link4"/>
      </w:pPr>
      <w:hyperlink r:id="rId66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67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68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69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70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71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72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35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37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38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73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74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75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76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77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78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79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80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81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82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83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84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85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86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87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88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89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90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91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92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93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94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9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9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97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98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99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00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01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02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03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04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05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106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07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08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09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10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11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12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113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14">
        <w:r>
          <w:rPr/>
          <w:t>Carpeta d'aprenentatge</w:t>
        </w:r>
      </w:hyperlink>
    </w:p>
    <w:p>
      <w:pPr>
        <w:pStyle w:val="Link4"/>
      </w:pPr>
      <w:hyperlink r:id="rId115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37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16">
        <w:r>
          <w:rPr/>
          <w:t>Assumpció del procés de construcció de la pròpia identitat com a subjecte polític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34">
        <w:r>
          <w:rPr/>
          <w:t xml:space="preserve">Anàlisi del tipus de relacions que s’estableixen entre els diferents agents que participen en l’organització de la vida pública i de les seves funcions 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17">
        <w:r>
          <w:rPr/>
          <w:t>Anàlisi  dels diferents models de governança i sistemes d’organització política, fent especial èmfasi en el procés i l’orientació de les polítiques proposades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18">
        <w:r>
          <w:rPr/>
          <w:t>Reflexió crítica sobre diferents missatges procedents dels mitjans de comunicació, Internet i altres fonts,  considerant la necessitat d'un sistema d'informació i de comunicació públic, veraç i transparent com a garantia de la democràcia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en comunicació lingüística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1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1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i" TargetMode="External"/><Relationship Id="rId1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2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m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s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1s2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2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3s4" TargetMode="External"/><Relationship Id="rId2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3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3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3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3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3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1s2" TargetMode="External"/><Relationship Id="rId3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3s4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3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4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4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3s4" TargetMode="External"/><Relationship Id="rId42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43" Type="http://schemas.openxmlformats.org/officeDocument/2006/relationships/hyperlink" Target="https://www.transformarelmon-guia.edualter.org/ca/instruments/observacio-dactituds" TargetMode="External"/><Relationship Id="rId4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4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4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4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4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5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5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5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5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5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5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5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6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6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6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6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6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6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6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6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6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6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7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7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7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7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7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7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7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7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7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7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8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8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8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8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8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8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8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8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8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8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9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9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9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9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9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9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9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9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9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9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0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0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0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0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0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10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10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10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0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0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1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1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1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11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114" Type="http://schemas.openxmlformats.org/officeDocument/2006/relationships/hyperlink" Target="https://www.transformarelmon-guia.edualter.org/ca/instruments/carpeta-daprenentatge" TargetMode="External"/><Relationship Id="rId115" Type="http://schemas.openxmlformats.org/officeDocument/2006/relationships/hyperlink" Target="https://www.transformarelmon-guia.edualter.org/ca/instruments/portafoli1" TargetMode="External"/><Relationship Id="rId11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11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1s2" TargetMode="External"/><Relationship Id="rId11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1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