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diferents 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56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7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8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9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0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6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4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65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66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7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68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69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7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73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4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7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7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80">
        <w:r>
          <w:rPr/>
          <w:t>Detecció de situacions de conflicte on estan implicades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2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9">
        <w:r>
          <w:rPr/>
          <w:t>Identificació de la necessitat de prendre decisions de forma autònoma</w:t>
        </w:r>
      </w:hyperlink>
    </w:p>
    <w:p>
      <w:pPr>
        <w:pStyle w:val="Link4"/>
      </w:pPr>
      <w:hyperlink r:id="rId9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1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2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3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4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Observació d'actituds</w:t>
        </w:r>
      </w:hyperlink>
    </w:p>
    <w:p>
      <w:pPr>
        <w:pStyle w:val="Link4"/>
      </w:pPr>
      <w:hyperlink r:id="rId10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9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6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8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8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9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9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5" Type="http://schemas.openxmlformats.org/officeDocument/2006/relationships/hyperlink" Target="https://www.transformarelmon-guia.edualter.org/ca/instruments/observacio-dactituds" TargetMode="External"/><Relationship Id="rId106" Type="http://schemas.openxmlformats.org/officeDocument/2006/relationships/hyperlink" Target="https://www.transformarelmon-guia.edualter.org/ca/instruments/rubrica-perspeciva-feminista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