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Observació de diferents situacions de marginació, discriminació, injustícia i violació de drets fonamentals en l'entorn proper</w:t>
      </w:r>
    </w:p>
    <w:p/>
    <w:p>
      <w:pPr>
        <w:pStyle w:val="Heading1"/>
      </w:pPr>
      <w:r>
        <w:t>OBJECTIU EIX</w:t>
      </w:r>
    </w:p>
    <w:p>
      <w:pPr/>
      <w:r>
        <w:t>Esdevenir persones participatives i actives, capaces de prendre decisions orientades a respectar i defensar els drets humans i la convivència democràtica.</w:t>
      </w:r>
    </w:p>
    <w:p/>
    <w:p>
      <w:pPr>
        <w:pStyle w:val="Heading1"/>
      </w:pPr>
      <w:r>
        <w:t>OBJECTIU BLOC</w:t>
      </w:r>
    </w:p>
    <w:p>
      <w:pPr/>
      <w:r>
        <w:t>Conèixer els drets humans i els diferents mecanismes de defensa i reivindicació existents, per tal d'esdevenir persones capaces de rebutjar situacions de vulnerabilitat social i violació de drets.</w:t>
      </w:r>
    </w:p>
    <w:p/>
    <w:p>
      <w:pPr>
        <w:pStyle w:val="Heading1"/>
      </w:pPr>
      <w:r>
        <w:t>CRITERI D'AVALUACIÓ</w:t>
      </w:r>
    </w:p>
    <w:p>
      <w:pPr/>
      <w:r>
        <w:t>Observen diferents situacions de marginació, discriminació, injustícia i violació de drets fonamentals en l'entorn proper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El sistema de protecció dels Drets Humans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Joc de rol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joc de rol consisteix en fer que un o més alumnes representin una situació real segons els papers que amb anterioritat s’han assignat. D’aquesta forma els participants poden analitzar els seus comportaments i el dels seus companys ajudant-los a adquirir, desenvolupar i/o inhibir certes competències. Ajuda a l’alumnat a comprendre aquestes situacions reals que per no viscudes s’havien considerat com a inexplicables.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10">
        <w:r>
          <w:rPr/>
          <w:t>Percepció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2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4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nk4"/>
      </w:pPr>
      <w:hyperlink r:id="rId1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6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21">
        <w:r>
          <w:rPr/>
          <w:t>Percepció de les diferents identitats de gènere, identitats sexuals i opcions afectivasexuals</w:t>
        </w:r>
      </w:hyperlink>
    </w:p>
    <w:p>
      <w:pPr>
        <w:pStyle w:val="Link4"/>
      </w:pPr>
      <w:hyperlink r:id="rId22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23">
        <w:r>
          <w:rPr/>
          <w:t>Introducció a les causes (i les conseqüències) de l’existència de diferències i desigualtats socials per motiu de gènere, sexe i opció afectivasexual</w:t>
        </w:r>
      </w:hyperlink>
    </w:p>
    <w:p>
      <w:pPr>
        <w:pStyle w:val="Link4"/>
      </w:pPr>
      <w:hyperlink r:id="rId2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2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27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8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3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33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3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37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38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39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4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41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42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43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44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45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6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47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48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9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50">
        <w:r>
          <w:rPr/>
          <w:t>Defensa del conflicte com a oportunitat de canvi social</w:t>
        </w:r>
      </w:hyperlink>
    </w:p>
    <w:p>
      <w:pPr>
        <w:pStyle w:val="Link4"/>
      </w:pPr>
      <w:hyperlink r:id="rId51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52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nk4"/>
      </w:pPr>
      <w:hyperlink r:id="rId53">
        <w:r>
          <w:rPr/>
          <w:t>Introducció als diferents mecanismes  de defensa dels drets humans a partir d'exemples d'accions reivindicatives en l'entorn proper (manifestacions, vagues, campanyes...)</w:t>
        </w:r>
      </w:hyperlink>
    </w:p>
    <w:p>
      <w:pPr>
        <w:pStyle w:val="Link4"/>
      </w:pPr>
      <w:hyperlink r:id="rId54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55">
        <w:r>
          <w:rPr/>
          <w:t>Presentació de les diferents cosmologies i cosmogonies, i la seva vinculació amb el medi ambient, el territori i la naturalesa.</w:t>
        </w:r>
      </w:hyperlink>
    </w:p>
    <w:p>
      <w:pPr>
        <w:pStyle w:val="Link4"/>
      </w:pPr>
      <w:hyperlink r:id="rId56">
        <w:r>
          <w:rPr/>
          <w:t>Presentació dels drets i deures individuals i col·lectius en qüestió mediambiental.</w:t>
        </w:r>
      </w:hyperlink>
    </w:p>
    <w:p>
      <w:pPr>
        <w:pStyle w:val="Link4"/>
      </w:pPr>
      <w:hyperlink r:id="rId57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58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60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1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3">
        <w:r>
          <w:rPr/>
          <w:t>Observació d'actituds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64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5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66">
        <w:r>
          <w:rPr/>
          <w:t>Presentació de diferents drets humans vinculats a la realitat propera de l'alumnat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53">
        <w:r>
          <w:rPr/>
          <w:t>Introducció als diferents mecanismes  de defensa dels drets humans a partir d'exemples d'accions reivindicatives en l'entorn proper (manifestacions, vagues, campanyes...)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7">
        <w:r>
          <w:rPr/>
          <w:t>Observació de diferents situacions de violació de drets humans tant en països en situacions de conflictes armats o amb sistemes polítics no democràtics con en l'entorn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i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m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2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i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2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i" TargetMode="External"/><Relationship Id="rId2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2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3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3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3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3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3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3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3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4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4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4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4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4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4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4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4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4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4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5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5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i" TargetMode="External"/><Relationship Id="rId5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i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i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i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3" Type="http://schemas.openxmlformats.org/officeDocument/2006/relationships/hyperlink" Target="https://www.transformarelmon-guia.edualter.org/ca/instruments/observacio-dactituds" TargetMode="External"/><Relationship Id="rId6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6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6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i" TargetMode="External"/><Relationship Id="rId6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