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SECUNDÀRIA</w:t>
      </w:r>
    </w:p>
    <w:p/>
    <w:p>
      <w:pPr>
        <w:pStyle w:val="Title"/>
      </w:pPr>
      <w:r>
        <w:t>Reconeixement de i no col•laboració amb principis, normes i formes d’organització injustes</w:t>
      </w:r>
    </w:p>
    <w:p/>
    <w:p>
      <w:pPr>
        <w:pStyle w:val="Heading1"/>
      </w:pPr>
      <w:r>
        <w:t>OBJECTIU EIX</w:t>
      </w:r>
    </w:p>
    <w:p>
      <w:pPr/>
      <w:r>
        <w:t>L’alumnat ha de ser competent en eradicar totes les formes de violència i promoure la pau positiva mitjançant l’anàlisi dels factors de violència i de pau, i la posada en pràctica dels procediments de transformació creativa dels conflictes.</w:t>
      </w:r>
    </w:p>
    <w:p/>
    <w:p>
      <w:pPr>
        <w:pStyle w:val="Heading1"/>
      </w:pPr>
      <w:r>
        <w:t>OBJECTIU BLOC</w:t>
      </w:r>
    </w:p>
    <w:p>
      <w:pPr/>
      <w:r>
        <w:t>L’alumnat ha de comprendre els plantejaments pacifistes teòrics i pràctics, mitjançant la posada en pràctica reflexiva d’estratègies noviolentes, amb l’objectiu de crear alternatives que tendeixin a la Cultura de Pau.</w:t>
      </w:r>
    </w:p>
    <w:p/>
    <w:p>
      <w:pPr>
        <w:pStyle w:val="Heading1"/>
      </w:pPr>
      <w:r>
        <w:t>CRITERI D'AVALUACIÓ</w:t>
      </w:r>
    </w:p>
    <w:p>
      <w:pPr/>
      <w:r>
        <w:t>No col·laboren amb algun principi, norma i forma d’organització injustes.</w:t>
      </w:r>
    </w:p>
    <w:p/>
    <w:p>
      <w:pPr>
        <w:pStyle w:val="Heading1"/>
      </w:pPr>
      <w:r>
        <w:t>TIPUS</w:t>
      </w:r>
    </w:p>
    <w:p>
      <w:pPr>
        <w:pStyle w:val="ListBullet"/>
      </w:pPr>
      <w:r>
        <w:t>Saber</w:t>
      </w:r>
    </w:p>
    <w:p/>
    <w:p>
      <w:pPr>
        <w:pStyle w:val="Heading1"/>
      </w:pPr>
      <w:r>
        <w:t>EIX</w:t>
      </w:r>
    </w:p>
    <w:p>
      <w:pPr>
        <w:pStyle w:val="ListBullet"/>
      </w:pPr>
      <w:r>
        <w:t>Pau i Noviolència</w:t>
      </w:r>
    </w:p>
    <w:p/>
    <w:p>
      <w:pPr>
        <w:pStyle w:val="Heading1"/>
      </w:pPr>
      <w:r>
        <w:t>BLOC</w:t>
      </w:r>
    </w:p>
    <w:p>
      <w:pPr>
        <w:pStyle w:val="ListBullet"/>
      </w:pPr>
      <w:r>
        <w:t>P Models i propostes per aconseguir la cultura de pau</w:t>
      </w:r>
    </w:p>
    <w:p/>
    <w:p>
      <w:pPr>
        <w:pStyle w:val="Heading1"/>
      </w:pPr>
      <w:r>
        <w:t>ETAPA</w:t>
      </w:r>
    </w:p>
    <w:p>
      <w:pPr>
        <w:pStyle w:val="ListBullet"/>
      </w:pPr>
      <w:r>
        <w:t>Educació Secundària Obligatòria (ESO)</w:t>
      </w:r>
    </w:p>
    <w:p/>
    <w:p>
      <w:pPr>
        <w:pStyle w:val="Heading1"/>
      </w:pPr>
      <w:r>
        <w:t>CICLE</w:t>
      </w:r>
    </w:p>
    <w:p>
      <w:pPr>
        <w:pStyle w:val="ListBullet"/>
      </w:pPr>
      <w:r>
        <w:t>Tercer i quart d’ESO</w:t>
      </w:r>
    </w:p>
    <w:p/>
    <w:p>
      <w:pPr>
        <w:pStyle w:val="Heading1"/>
      </w:pPr>
      <w:r>
        <w:t>RECOMANACIONS PEDAGÒGIQUES</w:t>
      </w:r>
    </w:p>
    <w:p/>
    <w:p>
      <w:pPr>
        <w:pStyle w:val="Heading2"/>
      </w:pPr>
      <w:r>
        <w:t>ESTRATÈGIES DIDÀCTIQUES</w:t>
      </w:r>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9">
        <w:r>
          <w:rPr/>
          <w:t xml:space="preserve">Coneixement de les normes de l’aula </w:t>
        </w:r>
      </w:hyperlink>
    </w:p>
    <w:p>
      <w:pPr>
        <w:pStyle w:val="Link4"/>
      </w:pPr>
      <w:hyperlink r:id="rId10">
        <w:r>
          <w:rPr/>
          <w:t>Valoració de les normes de classe com a instrument de regulació de la convivència a l’aula i al centre escolar</w:t>
        </w:r>
      </w:hyperlink>
    </w:p>
    <w:p>
      <w:pPr>
        <w:pStyle w:val="Link4"/>
      </w:pPr>
      <w:hyperlink r:id="rId11">
        <w:r>
          <w:rPr/>
          <w:t>Capacitat de formular normes de classe que promoguin la convivència i de preveure mesures que siguin reparadores</w:t>
        </w:r>
      </w:hyperlink>
    </w:p>
    <w:p>
      <w:pPr>
        <w:pStyle w:val="Link4"/>
      </w:pPr>
      <w:hyperlink r:id="rId12">
        <w:r>
          <w:rPr/>
          <w:t>Definició conjunta i aplicació de normes de classe que promoguin la convivència, i de mesures reparadores</w:t>
        </w:r>
      </w:hyperlink>
    </w:p>
    <w:p>
      <w:pPr>
        <w:pStyle w:val="Link4"/>
      </w:pPr>
      <w:hyperlink r:id="rId13">
        <w:r>
          <w:rPr/>
          <w:t>Capacitat de fer el seguiment i valorar el respecte de les normes de classe i el caràcter reparador de les mesures</w:t>
        </w:r>
      </w:hyperlink>
    </w:p>
    <w:p>
      <w:pPr>
        <w:pStyle w:val="Link4"/>
      </w:pPr>
      <w:hyperlink r:id="rId14">
        <w:r>
          <w:rPr/>
          <w:t xml:space="preserve">Observació del valor de les normes  d’aula i de centre </w:t>
        </w:r>
      </w:hyperlink>
    </w:p>
    <w:p>
      <w:pPr>
        <w:pStyle w:val="Link4"/>
      </w:pPr>
      <w:hyperlink r:id="rId15">
        <w:r>
          <w:rPr/>
          <w:t>Observació d’aspectes de la organització d’aula o de centre que s’haurien de millorar</w:t>
        </w:r>
      </w:hyperlink>
    </w:p>
    <w:p>
      <w:pPr>
        <w:pStyle w:val="Link4"/>
      </w:pPr>
      <w:hyperlink r:id="rId16">
        <w:r>
          <w:rPr/>
          <w:t>Respecte a les normes  d’aula i de centre, reconeixent-ne el benefici per una mateixa i per les altres persones</w:t>
        </w:r>
      </w:hyperlink>
    </w:p>
    <w:p>
      <w:pPr>
        <w:pStyle w:val="Link4"/>
      </w:pPr>
      <w:hyperlink r:id="rId17">
        <w:r>
          <w:rPr/>
          <w:t>Formulació puntual d’alternatives per tal de millorar aspectes de la organització d’aula o de centre</w:t>
        </w:r>
      </w:hyperlink>
    </w:p>
    <w:p>
      <w:pPr>
        <w:pStyle w:val="Link4"/>
      </w:pPr>
      <w:hyperlink r:id="rId18">
        <w:r>
          <w:rPr/>
          <w:t>Valoració positiva de a les normes  d’aula i de centre, reconeixent-ne el benefici per una mateixa i per les altres persones</w:t>
        </w:r>
      </w:hyperlink>
    </w:p>
    <w:p>
      <w:pPr>
        <w:pStyle w:val="Link4"/>
      </w:pPr>
      <w:hyperlink r:id="rId19">
        <w:r>
          <w:rPr/>
          <w:t>Valoració crítica de diferents alternatives per decidir quines contribueixen més a millorar aspectes de la organització d’aula o de centre</w:t>
        </w:r>
      </w:hyperlink>
    </w:p>
    <w:p>
      <w:pPr>
        <w:pStyle w:val="Link4"/>
      </w:pPr>
      <w:hyperlink r:id="rId20">
        <w:r>
          <w:rPr/>
          <w:t>Valoració positiva de les normes de centre i socials, reconeixent-ne el benefici per una mateixa, per les altres persones i per la societat</w:t>
        </w:r>
      </w:hyperlink>
    </w:p>
    <w:p>
      <w:pPr>
        <w:pStyle w:val="Link4"/>
      </w:pPr>
      <w:hyperlink r:id="rId21">
        <w:r>
          <w:rPr/>
          <w:t>Reconeixement de i no col•laboració amb principis, normes i formes d’organització injustes</w:t>
        </w:r>
      </w:hyperlink>
    </w:p>
    <w:p>
      <w:pPr>
        <w:pStyle w:val="Link4"/>
      </w:pPr>
      <w:hyperlink r:id="rId22">
        <w:r>
          <w:rPr/>
          <w:t>Presentació i pràctica de les normes, i de la seva importància per a la convivència democràtica en els diferents àmbits relacionals</w:t>
        </w:r>
      </w:hyperlink>
    </w:p>
    <w:p>
      <w:pPr>
        <w:pStyle w:val="Link4"/>
      </w:pPr>
      <w:hyperlink r:id="rId23">
        <w:r>
          <w:rPr/>
          <w:t>Interès en prendre decisions de forma autònoma i expressar-les</w:t>
        </w:r>
      </w:hyperlink>
    </w:p>
    <w:p>
      <w:pPr>
        <w:pStyle w:val="Link4"/>
      </w:pPr>
      <w:hyperlink r:id="rId24">
        <w:r>
          <w:rPr/>
          <w:t>Identificació dels propis compromisos i responsabilitats en relació a  la planificació, organització i realització de les tasques escolars i familiars</w:t>
        </w:r>
      </w:hyperlink>
    </w:p>
    <w:p>
      <w:pPr>
        <w:pStyle w:val="Link4"/>
      </w:pPr>
      <w:hyperlink r:id="rId25">
        <w:r>
          <w:rPr/>
          <w:t>Pràctica de les diferents habilitats per a la comunicació i la convivència a l’aula i al centre</w:t>
        </w:r>
      </w:hyperlink>
    </w:p>
    <w:p>
      <w:pPr>
        <w:pStyle w:val="Link4"/>
      </w:pPr>
      <w:hyperlink r:id="rId26">
        <w:r>
          <w:rPr/>
          <w:t>Identificació i pràctica de les diferents normes per a la  convivència democràtica al centre, la família i l’entorn proper</w:t>
        </w:r>
      </w:hyperlink>
    </w:p>
    <w:p>
      <w:pPr>
        <w:pStyle w:val="Link4"/>
      </w:pPr>
      <w:hyperlink r:id="rId27">
        <w:r>
          <w:rPr/>
          <w:t>Pràctica de diferents mecanismes i vies de participació democràtica a  l’aula i al centre escolar</w:t>
        </w:r>
      </w:hyperlink>
    </w:p>
    <w:p>
      <w:pPr>
        <w:pStyle w:val="Link4"/>
      </w:pPr>
      <w:hyperlink r:id="rId28">
        <w:r>
          <w:rPr/>
          <w:t>Ús de les diferents habilitats per a la comunicació i la convivència a l’aula, al centre i a l’entorn proper</w:t>
        </w:r>
      </w:hyperlink>
    </w:p>
    <w:p>
      <w:pPr>
        <w:pStyle w:val="Link4"/>
      </w:pPr>
      <w:hyperlink r:id="rId29">
        <w:r>
          <w:rPr/>
          <w:t>Compromís en la construcció i el respecte de normes per a la  convivència democràtica en l’àmbit escolar, familiar i en l’entorn proper.</w:t>
        </w:r>
      </w:hyperlink>
    </w:p>
    <w:p>
      <w:pPr>
        <w:pStyle w:val="Link4"/>
      </w:pPr>
      <w:hyperlink r:id="rId30">
        <w:r>
          <w:rPr/>
          <w:t>Interès per aprofundir en els diferents mecanismes i vies de participació democràtica a l’aula i al centre escolar, indagant propostes de millora i aprofundiment democràtic</w:t>
        </w:r>
      </w:hyperlink>
    </w:p>
    <w:p>
      <w:pPr>
        <w:pStyle w:val="Link4"/>
      </w:pPr>
      <w:hyperlink r:id="rId3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2">
        <w:r>
          <w:rPr/>
          <w:t>Anàlisi  crítica del procés de construcció i respecte de les diferents normes de convivència democràtica del centre, la família i l’entorn proper en base als criteris de consens i dissens</w:t>
        </w:r>
      </w:hyperlink>
    </w:p>
    <w:p>
      <w:pPr>
        <w:pStyle w:val="Link4"/>
      </w:pPr>
      <w:hyperlink r:id="rId33">
        <w:r>
          <w:rPr/>
          <w:t>Anàlisi crítica dels diferents mecanismes i vies de participació democràtica a l’aula i al centre escolar, indagant propostes de millora i aprofundiment democràtic</w:t>
        </w:r>
      </w:hyperlink>
    </w:p>
    <w:p>
      <w:pPr>
        <w:pStyle w:val="Link4"/>
      </w:pPr>
      <w:hyperlink r:id="rId34">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5">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36">
        <w:r>
          <w:rPr/>
          <w:t>Desenvolupament de nous mecanismes i vies de participació democràtica a l’aula, al centre i a l’entorn, indagant propostes de millora i aprofundiment democràtic</w:t>
        </w:r>
      </w:hyperlink>
    </w:p>
    <w:p>
      <w:pPr>
        <w:pStyle w:val="Link4"/>
      </w:pPr>
      <w:hyperlink r:id="rId37">
        <w:r>
          <w:rPr/>
          <w:t>Inici en la pràctica de presa de decisions i de construcció consensuada d'algunes normes bàsiques per organitzar a la convivència a l’aula i al centre</w:t>
        </w:r>
      </w:hyperlink>
    </w:p>
    <w:p>
      <w:pPr>
        <w:pStyle w:val="Link4"/>
      </w:pPr>
      <w:hyperlink r:id="rId38">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39">
        <w:r>
          <w:rPr/>
          <w:t>Establiment de relacions de convivència a l'aula, al centre i a l'entorn basades en l'estima, el respecte i la conficança en un mateix i en les altres persones</w:t>
        </w:r>
      </w:hyperlink>
    </w:p>
    <w:p>
      <w:pPr>
        <w:pStyle w:val="Link4"/>
      </w:pPr>
      <w:hyperlink r:id="rId40">
        <w:r>
          <w:rPr/>
          <w:t>Participació en la presa de decisions i en la construcció consensuada d'unes normes bàsiques per organitzar la convivència a l’aula i al  centre</w:t>
        </w:r>
      </w:hyperlink>
    </w:p>
    <w:p>
      <w:pPr>
        <w:pStyle w:val="Link4"/>
      </w:pPr>
      <w:hyperlink r:id="rId41">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2">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3">
        <w:r>
          <w:rPr/>
          <w:t>Observació d'actituds</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20">
        <w:r>
          <w:rPr/>
          <w:t>Valoració positiva de les normes de centre i socials, reconeixent-ne el benefici per una mateixa, per les altres persones i per la societat</w:t>
        </w:r>
      </w:hyperlink>
    </w:p>
    <w:p>
      <w:pPr>
        <w:pStyle w:val="ListBullet"/>
      </w:pPr>
      <w:r>
        <w:t>Pau i Noviolència</w:t>
      </w:r>
    </w:p>
    <w:p>
      <w:pPr>
        <w:pStyle w:val="ListBullet"/>
      </w:pPr>
      <w:r>
        <w:t>Educació Secundària Obligatòria (ESO)</w:t>
      </w:r>
    </w:p>
    <w:p>
      <w:pPr>
        <w:pStyle w:val="Link"/>
      </w:pPr>
      <w:hyperlink r:id="rId44">
        <w:r>
          <w:rPr/>
          <w:t>Participació reflexiva en una iniciativa alternativa al militarisme, la despesa militar, les guerres i a les formes de violència en general</w:t>
        </w:r>
      </w:hyperlink>
    </w:p>
    <w:p>
      <w:pPr>
        <w:pStyle w:val="ListBullet"/>
      </w:pPr>
      <w:r>
        <w:t>Pau i Noviolència</w:t>
      </w:r>
    </w:p>
    <w:p>
      <w:pPr>
        <w:pStyle w:val="ListBullet"/>
      </w:pPr>
      <w:r>
        <w:t>Educació Secundària Obligatòria (ESO)</w:t>
      </w:r>
    </w:p>
    <w:p>
      <w:pPr>
        <w:pStyle w:val="ListBullet"/>
      </w:pPr>
      <w:r>
        <w:t>Competència ciutadana</w:t>
      </w:r>
    </w:p>
    <w:p>
      <w:pPr>
        <w:pStyle w:val="Link"/>
      </w:pPr>
      <w:hyperlink r:id="rId45">
        <w:r>
          <w:rPr/>
          <w:t>Comprensió dels plantejaments pacifistes i noviolents des de la teoria (valors i arguments de pau) fins a la pràctica (alternatives de pau) (pau positiva)</w:t>
        </w:r>
      </w:hyperlink>
    </w:p>
    <w:p>
      <w:pPr>
        <w:pStyle w:val="ListBullet"/>
      </w:pPr>
      <w:r>
        <w:t>Pau i Noviolència</w:t>
      </w:r>
    </w:p>
    <w:p>
      <w:pPr>
        <w:pStyle w:val="ListBullet"/>
      </w:pPr>
      <w:r>
        <w:t>Educació Secundària Obligatòria (ESO)</w:t>
      </w:r>
    </w:p>
    <w:p>
      <w:pPr>
        <w:pStyle w:val="Link"/>
      </w:pPr>
      <w:hyperlink r:id="rId46">
        <w:r>
          <w:rPr/>
          <w:t>Valoració crítica de la posada en pràctica d’una estratègia  a mig termini i de tasques per tal de millorar aspectes de l’entorn proper o necessitats socials (desarmament, pau, drets, major equitat, relacions més justes)</w:t>
        </w:r>
      </w:hyperlink>
    </w:p>
    <w:p>
      <w:pPr>
        <w:pStyle w:val="ListBullet"/>
      </w:pPr>
      <w:r>
        <w:t>Pau i Noviolència</w:t>
      </w:r>
    </w:p>
    <w:p>
      <w:pPr>
        <w:pStyle w:val="ListBullet"/>
      </w:pPr>
      <w:r>
        <w:t>Educació Secundària Obligatòria (ESO)</w:t>
      </w:r>
    </w:p>
    <w:p>
      <w:pPr>
        <w:pStyle w:val="ListBullet"/>
      </w:pPr>
      <w:r>
        <w:t>Competència ciutadana</w:t>
      </w:r>
    </w:p>
    <w:p>
      <w:pPr>
        <w:pStyle w:val="Link"/>
      </w:pPr>
      <w:hyperlink r:id="rId47">
        <w:r>
          <w:rPr/>
          <w:t>Actuació amb coherència (cura d’una mateixa, cura de l’altre, cura de l’entorn) per la creació d’alternatives que tendeixin a la cultura de pau global</w:t>
        </w:r>
      </w:hyperlink>
    </w:p>
    <w:p>
      <w:pPr>
        <w:pStyle w:val="ListBullet"/>
      </w:pPr>
      <w:r>
        <w:t>Pau i Noviolència</w:t>
      </w:r>
    </w:p>
    <w:p>
      <w:pPr>
        <w:pStyle w:val="ListBullet"/>
      </w:pPr>
      <w:r>
        <w:t>Educació Secundària Obligatòria (ESO)</w:t>
      </w:r>
    </w:p>
    <w:p>
      <w:pPr>
        <w:pStyle w:val="ListBullet"/>
      </w:pPr>
      <w:r>
        <w:t>Competència en comunicació lingüística</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1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1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1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1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i" TargetMode="External"/><Relationship Id="rId1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i" TargetMode="External"/><Relationship Id="rId1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m" TargetMode="External"/><Relationship Id="rId1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m" TargetMode="External"/><Relationship Id="rId1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s" TargetMode="External"/><Relationship Id="rId1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bc_cs" TargetMode="External"/><Relationship Id="rId2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1s2" TargetMode="External"/><Relationship Id="rId2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3s4" TargetMode="External"/><Relationship Id="rId2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i" TargetMode="External"/><Relationship Id="rId2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m" TargetMode="External"/><Relationship Id="rId2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2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m" TargetMode="External"/><Relationship Id="rId2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2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m" TargetMode="External"/><Relationship Id="rId2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s" TargetMode="External"/><Relationship Id="rId2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3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s" TargetMode="External"/><Relationship Id="rId3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3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3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1s2" TargetMode="External"/><Relationship Id="rId3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3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3s4" TargetMode="External"/><Relationship Id="rId3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3s4" TargetMode="External"/><Relationship Id="rId3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m" TargetMode="External"/><Relationship Id="rId3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m" TargetMode="External"/><Relationship Id="rId39"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s" TargetMode="External"/><Relationship Id="rId40"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s" TargetMode="External"/><Relationship Id="rId4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1s2" TargetMode="External"/><Relationship Id="rId4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3s4" TargetMode="External"/><Relationship Id="rId43" Type="http://schemas.openxmlformats.org/officeDocument/2006/relationships/hyperlink" Target="https://www.transformarelmon-guia.edualter.org/ca/instruments/observacio-dactituds" TargetMode="External"/><Relationship Id="rId4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3s4" TargetMode="External"/><Relationship Id="rId4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3_cp_bc_s3s4" TargetMode="External"/><Relationship Id="rId4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4_cp_bc_s3s4" TargetMode="External"/><Relationship Id="rId4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5_cp_bc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