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Valoració positiva de a les normes  d’aula i de centre, reconeixent-ne el benefici per una mateixa i per les altres persones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Valoren positivament les normes d’aula i de centre, reconeixent-ne el benefici per una mateixa i per les altres persones.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les normes de convivència que han de regular les relacions socials a les famílies i a l’escola</w:t>
        <w:br/>
        <w:br/>
        <w:br/>
        <w:t>i de la transformació de la seva bona pràctica en hàbits cívics aplicables a d’altres àmbits relacionals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participació com un dret i un deure. Identificació i ús dels mecanismes de participació</w:t>
        <w:br/>
        <w:br/>
        <w:br/>
        <w:t>en el funcionament de l’aula i de l’escola, valorant les estratègies implicades de treball en grup</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4">
        <w:r>
          <w:rPr/>
          <w:t xml:space="preserve">Observació del valor de les normes  d’aula i de centre </w:t>
        </w:r>
      </w:hyperlink>
    </w:p>
    <w:p>
      <w:pPr>
        <w:pStyle w:val="ListBullet"/>
      </w:pPr>
      <w:r>
        <w:t>Pau i Noviolència</w:t>
      </w:r>
    </w:p>
    <w:p>
      <w:pPr>
        <w:pStyle w:val="ListBullet"/>
      </w:pPr>
      <w:r>
        <w:t>Educació Primària</w:t>
      </w:r>
    </w:p>
    <w:p>
      <w:pPr>
        <w:pStyle w:val="Link"/>
      </w:pPr>
      <w:hyperlink r:id="rId16">
        <w:r>
          <w:rPr/>
          <w:t>Respecte a les normes  d’aula i de centre, reconeixent-ne el benefici per una mateixa i per les altres persones</w:t>
        </w:r>
      </w:hyperlink>
    </w:p>
    <w:p>
      <w:pPr>
        <w:pStyle w:val="ListBullet"/>
      </w:pPr>
      <w:r>
        <w:t>Pau i Noviolència</w:t>
      </w:r>
    </w:p>
    <w:p>
      <w:pPr>
        <w:pStyle w:val="ListBullet"/>
      </w:pPr>
      <w:r>
        <w:t>Educació Primària</w:t>
      </w:r>
    </w:p>
    <w:p>
      <w:pPr>
        <w:pStyle w:val="Link"/>
      </w:pPr>
      <w:hyperlink r:id="rId44">
        <w:r>
          <w:rPr/>
          <w:t>Coneixement de formes de frenar la violència en l’entorn proper i a nivell mundial   (rebutjar la guerra, estar a favor del desarmament...)</w:t>
        </w:r>
      </w:hyperlink>
    </w:p>
    <w:p>
      <w:pPr>
        <w:pStyle w:val="ListBullet"/>
      </w:pPr>
      <w:r>
        <w:t>Pau i Noviolència</w:t>
      </w:r>
    </w:p>
    <w:p>
      <w:pPr>
        <w:pStyle w:val="ListBullet"/>
      </w:pPr>
      <w:r>
        <w:t>Educació Primària</w:t>
      </w:r>
    </w:p>
    <w:p>
      <w:pPr>
        <w:pStyle w:val="Link"/>
      </w:pPr>
      <w:hyperlink r:id="rId45">
        <w:r>
          <w:rPr/>
          <w:t>Coneixement de formes per promoure la pau en l’entorn proper i a nivell mundial   (dret a la pau, educació perla pau, control dels recursos naturals...)</w:t>
        </w:r>
      </w:hyperlink>
    </w:p>
    <w:p>
      <w:pPr>
        <w:pStyle w:val="ListBullet"/>
      </w:pPr>
      <w:r>
        <w:t>Pau i Noviolència</w:t>
      </w:r>
    </w:p>
    <w:p>
      <w:pPr>
        <w:pStyle w:val="ListBullet"/>
      </w:pPr>
      <w:r>
        <w:t>Educació Primària</w:t>
      </w:r>
    </w:p>
    <w:p>
      <w:pPr>
        <w:pStyle w:val="ListBullet"/>
      </w:pPr>
      <w:r>
        <w:t>Competència ciutadana</w:t>
      </w:r>
    </w:p>
    <w:p>
      <w:pPr>
        <w:pStyle w:val="Link"/>
      </w:pPr>
      <w:hyperlink r:id="rId19">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p>
      <w:pPr>
        <w:pStyle w:val="Link"/>
      </w:pPr>
      <w:hyperlink r:id="rId46">
        <w:r>
          <w:rPr/>
          <w:t>Comprensió de les necessitats de les altres persones, i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