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Respecte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Respecten les normes d’aula i de centre, reconeixent-ne el benefici per una mateixa i per les altres persones.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Estratègies personals i col·lectives per transformar els conflictes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Cultura de 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Cultura de 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Cultura de pau i noviolència</w:t>
      </w:r>
    </w:p>
    <w:p>
      <w:pPr>
        <w:pStyle w:val="ListBullet"/>
      </w:pPr>
      <w:r>
        <w:t>Educació Primària</w:t>
      </w:r>
    </w:p>
    <w:p>
      <w:pPr>
        <w:pStyle w:val="Link"/>
      </w:pPr>
      <w:hyperlink r:id="rId17">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