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 xml:space="preserve">Observació del valor de les normes  d’aula i de centre </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Reconeixen el valor de les normes d’aula i de centre.</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6">
        <w:r>
          <w:rPr/>
          <w:t>Respecte a les normes  d’aula i de centre, reconeixent-ne el benefici per una mateixa i per les altres persones</w:t>
        </w:r>
      </w:hyperlink>
    </w:p>
    <w:p>
      <w:pPr>
        <w:pStyle w:val="ListBullet"/>
      </w:pPr>
      <w:r>
        <w:t>Pau i Noviolència</w:t>
      </w:r>
    </w:p>
    <w:p>
      <w:pPr>
        <w:pStyle w:val="ListBullet"/>
      </w:pPr>
      <w:r>
        <w:t>Educació Primària</w:t>
      </w:r>
    </w:p>
    <w:p>
      <w:pPr>
        <w:pStyle w:val="Link"/>
      </w:pPr>
      <w:hyperlink r:id="rId18">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ciutadana</w:t>
      </w:r>
    </w:p>
    <w:p>
      <w:pPr>
        <w:pStyle w:val="ListBullet"/>
      </w:pPr>
      <w:r>
        <w:t>Competència emprenedora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15">
        <w:r>
          <w:rPr/>
          <w:t>Observació d’aspectes de la organització d’aula o de centre que s’haurien de millorar</w:t>
        </w:r>
      </w:hyperlink>
    </w:p>
    <w:p>
      <w:pPr>
        <w:pStyle w:val="ListBullet"/>
      </w:pPr>
      <w:r>
        <w:t>Pau i Noviolència</w:t>
      </w:r>
    </w:p>
    <w:p>
      <w:pPr>
        <w:pStyle w:val="ListBullet"/>
      </w:pPr>
      <w:r>
        <w:t>Educació Primària</w:t>
      </w:r>
    </w:p>
    <w:p>
      <w:pPr>
        <w:pStyle w:val="ListBullet"/>
      </w:pPr>
      <w:r>
        <w:t>Competència matemàtica i competència en ciència, tecnologia i enginyeria</w:t>
      </w:r>
    </w:p>
    <w:p>
      <w:pPr>
        <w:pStyle w:val="ListBullet"/>
      </w:pPr>
      <w:r>
        <w:t>Competència personal, social i d'aprendre a aprendre</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