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 xml:space="preserve">Aplicació de les formes per frenar la violència en l’entorn proper (normes contra la violència, actitud personal per rebutjar la violència dins i fora de l’escola...)  </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Apliquen les formes per frenar la violència en l’entorn proper (normes contra la violència, actitud personal per rebutjar la violència dins i fora de l’escola...).</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22">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66">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20">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68">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123">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124">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www.transformarelmon-guia.edualter.org/ca/instruments/carpeta-daprenentatge" TargetMode="External"/><Relationship Id="rId121" Type="http://schemas.openxmlformats.org/officeDocument/2006/relationships/hyperlink" Target="https://www.transformarelmon-guia.edualter.org/ca/instruments/portafoli1" TargetMode="External"/><Relationship Id="rId12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2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2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