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dels diferents tipus de conflictes (locals, socials, internacionals) capacitat de comparar-los, i d’argumentar si són violents o no</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els diferents tipus de conflictes (locals, socials, internacionals) els comparen,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dels canvis econòmics i polítics de la baixa edat mitjana, incidint especialment en l’auge de la</w:t>
        <w:br/>
        <w:br/>
        <w:br/>
        <w:t>vida urbana i del comerç i en els conflictes al món rural. Anàlisi del paper de l’Església en la cultura i</w:t>
        <w:br/>
        <w:br/>
        <w:br/>
        <w:t>la mentalitat medievals.</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digital</w:t>
      </w:r>
    </w:p>
    <w:p>
      <w:pPr>
        <w:pStyle w:val="ListBullet"/>
      </w:pPr>
      <w:r>
        <w:t>Competència ciutadana</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17">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4">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www.transformarelmon-guia.edualter.org/ca/instruments/diari-daula" TargetMode="External"/><Relationship Id="rId105" Type="http://schemas.openxmlformats.org/officeDocument/2006/relationships/hyperlink" Target="https://www.transformarelmon-guia.edualter.org/ca/instruments/portafoli1"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