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 les causes i les conseqüències de la violència (directa, estructural i cultural) en les relacions interpersonals, socials i mundials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Són conscients de les causes i de les conseqüències de la violència (directa, estructural i cultural) en les relacions interpersonals, socials i mundials.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social, política i econòmica a l’edat moderna, situant l’imperi hispànic dins el</w:t>
        <w:br/>
        <w:br/>
        <w:br/>
        <w:t>context europeu. Comparació de situacions històriques de l’època moderna, com l’ampliació del món</w:t>
        <w:br/>
        <w:br/>
        <w:br/>
        <w:t>conegut pels europeus o els conflictes religiosos, entre d’altres, amb fets de l’actualitat. Caracterització</w:t>
        <w:br/>
        <w:br/>
        <w:br/>
        <w:t>d’alguna civilització no europea.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elements bàsics de l’evolució històrica de Catalunya dins la monarquia hispànica,</w:t>
        <w:br/>
        <w:br/>
        <w:br/>
        <w:t>analitzant les causes i les conseqüències d’alguns conflictes polítics i socials. Caracterització</w:t>
        <w:br/>
        <w:br/>
        <w:br/>
        <w:t>d’elements de canvi i continuïtat en la Catalunya del segle xviii.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www.transformarelmon-guia.edualter.org/ca/instruments/observacio-dactituds" TargetMode="External"/><Relationship Id="rId75" Type="http://schemas.openxmlformats.org/officeDocument/2006/relationships/hyperlink" Target="https://www.transformarelmon-guia.edualter.org/ca/instruments/rubrica-perspeciva-feminista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