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 xml:space="preserve">Coneixement inicial de tipus de conflictes a l'aula i a la realitat propera 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Reconèixen diferents tipus de conflictes a l’aula i en l’entorn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92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93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5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96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97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98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10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101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10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10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>
      <w:pPr>
        <w:pStyle w:val="Link4"/>
      </w:pPr>
      <w:hyperlink r:id="rId105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0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07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108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109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11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11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2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3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www.transformarelmon-guia.edualter.org/ca/instruments/observacio-dactituds" TargetMode="External"/><Relationship Id="rId67" Type="http://schemas.openxmlformats.org/officeDocument/2006/relationships/hyperlink" Target="https://www.transformarelmon-guia.edualter.org/ca/instruments/rubrica-perspeciva-feminista" TargetMode="External"/><Relationship Id="rId6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6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7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7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7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7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7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7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7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7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7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8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8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8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8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8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8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8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8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8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8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9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9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9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9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9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9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9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9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9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9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0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0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0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10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104" Type="http://schemas.openxmlformats.org/officeDocument/2006/relationships/hyperlink" Target="https://www.transformarelmon-guia.edualter.org/ca/instruments/diari-daula" TargetMode="External"/><Relationship Id="rId105" Type="http://schemas.openxmlformats.org/officeDocument/2006/relationships/hyperlink" Target="https://www.transformarelmon-guia.edualter.org/ca/instruments/portafoli1" TargetMode="External"/><Relationship Id="rId10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0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10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10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11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11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1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